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position w:val="4"/>
          <w:lang w:eastAsia="hr-HR"/>
        </w:rPr>
        <w:t>MJERILA VREDNOVANJA PREMA ISHODIMA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  <w:t>HRVATSKI JEZIK</w:t>
      </w:r>
    </w:p>
    <w:p>
      <w:pPr>
        <w:pStyle w:val="Normal"/>
        <w:jc w:val="center"/>
        <w:rPr>
          <w:rFonts w:ascii="Arial" w:hAnsi="Arial" w:cs="Arial"/>
          <w:b/>
          <w:b/>
          <w:lang w:eastAsia="hr-HR"/>
        </w:rPr>
      </w:pPr>
      <w:r>
        <w:rPr>
          <w:rFonts w:cs="Arial" w:ascii="Arial" w:hAnsi="Arial"/>
          <w:b/>
          <w:lang w:eastAsia="hr-HR"/>
        </w:rPr>
        <w:t>KOMUNIKACIJA I JEZIK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HJ A.4.1.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razgovara i govori u skladu s komunikacijskom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situacijom.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Razgovara i govori prema zadanoj ili slobodnoj temi.</w:t>
              <w:br/>
              <w:t>Sadržajem i strukturom govorenja cjelovito obuhvaća temu.</w:t>
              <w:br/>
              <w:t>Organizira govor prema jednostavnoj strukturi: uvod, središnji dio, završetak.</w:t>
              <w:br/>
              <w:t>Stvaralačkim postupcima oblikuje govorene tekstove.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Sudjeluje u organiziranoj ili spontanoj raspravi.</w:t>
              <w:br/>
              <w:t>Poštuje pravila komunikacije u raspravi: sluša sugovornike, govori kad ima riječ.</w:t>
              <w:br/>
              <w:t>Prepoznaje važnost neverbalne komunikacije.</w:t>
              <w:br/>
              <w:t>Primjenjuje nove riječi u komunikacijskoj situaciji.</w:t>
              <w:br/>
              <w:t>Poštuje društveno prihvatljiva pravila uljudne komunikacije u različitim životnim situacijama.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Tekstovi: obavijest, poruka, kratki opis, organizirana i spontana rasprava, govorno oblikovani tekstovi.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-razgovara i raspravlja u skladu sa zadanom ili slobodnom temom poštujući pravila uljudnoga ophođenja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stvaralačkim postupcima oblikuje govorene tekstove (obavijest, poruka, rasprava)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-u komunikaciji stvara ozračje povjerenja i izražava inovativne ideje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  <w:r>
              <w:rPr>
                <w:rFonts w:cs="Arial" w:ascii="Arial" w:hAnsi="Arial"/>
                <w:color w:val="231F20"/>
                <w:u w:val="none" w:color="231F20"/>
              </w:rPr>
              <w:t xml:space="preserve"> prepoznaje važnost neverbalne komunikacije.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-razgovara i prema smjernicama raspravlja u skladu sa zadanom ili slobodnom temom poštujući pravila uljudnoga ophođenja i usmjerava dijalog u komunikaciji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oblikuje govorene tekstove (obavijest, poruka, rasprava)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poštuje društveno prihvatljiva pravila uljudne komunikacije</w:t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-razgovara u skladu sa zadanom ili slobodnom temom poštujući </w:t>
              <w:br/>
              <w:t>pravila uljudnoga ophođenja</w:t>
              <w:br/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-povremeno sudjeluje u organiziranoj ili spontanoj raspravi</w:t>
              <w:br/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-na poticaj učitelja razgovora u skladu sa zadanom ili slobodnom temom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–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potrebno je upućivanje na pravila uljudnoga ophođenja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-ne razgovora u skladu sa zadanom ili slobodnom temom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–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potrebno je upućivanje na pravila uljudnoga ophođenja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HJ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sluša različite tekstove, izdvaja važne podatke i prepričava sadržaj poslušanoga teksta.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Izdvaja važne podatke iz poslušanoga teksta prema uputi.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Oblikuje bilješke na temelju izdvojenih podataka.</w:t>
              <w:br/>
              <w:t>Prepričava poslušani tekst na temelju bilježaka.</w:t>
              <w:br/>
              <w:t>Objašnjava nepoznate riječi služeći se dječjim rječnicima.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Tekstovi: književni i obavijesni tekstovi primjereni jezičnom razvoju i dobi, zvučni zapisi književnih tekstova.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-sluša različite vrste tekstova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-samostalno izdvaja ključne podatke iz teksta i prepričava poslušani tekst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-služi se dječjim rječnicima za objašnjavanje nepoznatih riječi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sluša različite vrste tekstova</w:t>
            </w:r>
          </w:p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samostalno izdvaja ključne podatke iz teksta i oblikuje bilješke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-sluša različite vrste tekstova, prema smjernicama učitelja izdvaja ključne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podatke iz teksta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-sluša različite vrste tekstova i uz pomoć učitelja izdvaja ključne podatke iz teksta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-sluša različite vrste tekstova i  ne uspijeva izdvajiti ključne podatke iz teksta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HJ A.4.3.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čita tekst i prepričava sadržaj teksta služeći se bilješkama.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Povezuje grafičku strukturu teksta i sadržaj.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Izdvaja važne podatke iz teksta i piše bilješke s obzirom na sadržaj i strukturu.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Prepričava tekst na temelju bilježaka.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Objašnjava podatke u grafičkim prikazima.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Objašnjava nepoznate riječi: na temelju vođenoga razgovora, zaključivanja na temelju konteksta, s pomoću rječnika nakon čitanja teksta.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Tekstovi: obavijesni, obrazovni i književni tekstovi primjereni dobi.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-čita različite vrste tekstova, izdvaja ključne podatke iz teksta i prepričava poslušani tekst</w:t>
            </w:r>
          </w:p>
          <w:p>
            <w:pPr>
              <w:pStyle w:val="Tijelo"/>
              <w:widowControl w:val="false"/>
              <w:shd w:val="clear" w:color="auto" w:fill="FDE9D9" w:themeFill="accent6" w:themeFillTint="33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  <w:r>
              <w:rPr>
                <w:rFonts w:cs="Arial" w:ascii="Arial" w:hAnsi="Arial"/>
                <w:color w:val="231F20"/>
                <w:u w:val="none" w:color="231F20"/>
              </w:rPr>
              <w:t xml:space="preserve"> samostalno prepričava tekst na temelju bilježaka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samostalno objašnjava podatke u grafičkim prikazima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čita različite vrste tekstova, izdvaja ključne podatke iz teksta i oblikuje bilješke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čita različite vrste tekstova, prema smjernicama učitelja izdvaja ključne podatke iz teksta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čita različite vrste tekstova i uz pomoć učitelja izdvaja ključne podatke iz teksta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izdvaja ključne podatke iz teksta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HJ A.4.4.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piše tekstove prema jednostavnoj strukturi.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Piše tekstove poštujući strukturu: uvod, razrada, zaključak.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Piše prema predlošcima za ovladavanje gramatičkom i stilističkom normom potrebnom za skrukturiranje teksta.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Provjerava pravopisnu točnost i slovopisnu čitkost.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Tekstovi: bilješka, pisani sastavak, SMS, poruka elektroničke pošte, pismo, sažetak, opis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samostalno piše tekstove (bilješka, pisani sastavak, pismo, sažetak, opis)  poštujući trodjelnu strukturu  - oblikuje kompoziciju teksta</w:t>
            </w:r>
          </w:p>
          <w:p>
            <w:pPr>
              <w:pStyle w:val="Tijelo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sastavlja dijelove u cjelinu i grafički organizira tekst uz pravopisnu točnost i slovopisnu čitkost.</w:t>
            </w:r>
          </w:p>
          <w:p>
            <w:pPr>
              <w:pStyle w:val="Tijelo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  <w:r>
              <w:rPr>
                <w:rFonts w:cs="Arial" w:ascii="Arial" w:hAnsi="Arial"/>
                <w:color w:val="231F20"/>
                <w:u w:val="none" w:color="231F20"/>
              </w:rPr>
              <w:t xml:space="preserve"> provjerava pravopisnu točnost i slovopisnu čitkost.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prema smjernicama piše tekstove u skladu s razvijenom sposobnošću promatranja i zapažanja</w:t>
              <w:br/>
              <w:t>- oblikuje kompoziciju opisa provjeravajući pravopisnu točnost i slovopisnu čitkost.</w:t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prema predlošku piše kratke tekstove i oblikuje kompoziciju opisa te uz pomoć učitelja provjerava pravopisnu točnost i slovopisnu čitkost.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uz pomoć učitelja i prema predlošku piše kratke tekstove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provjerava pravopisnu točnost i slovopisnu čitkost.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ne piše kratke tekstove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provjerava pravopisnu točnost i slovopisnu čitkost.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HJ A.4.5.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Razumije gramatičku kategoriju vrste riječi (imenice, glagoli, pridjevi).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Pravilno upotrebljava broj i rod imenica i pridjeva koji se s njom slažu na oglednim primjerima.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Točno oblikuje prošlo, sadašnja i buduće vrijeme.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Točno oblikuje posvojne pridjeve.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Oblikuje rečenice u kojima se poštuju pravila sročnosti.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Funkcionalno upotrebljava riječi, sintagme i rečenice u skladu s dinamikom učenja s obzirom na jezični razvoj.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Funkcionalno primjenjuje jezična znanja.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Tekstovi: bilješka, pisani sastavak, SMS, poruka elektroničke pošte, pismo, sažetak, opis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-samostalno oblikuje rečenice i primjereni tekst te funkcionalno primjenjuje jezična znanja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pokazuje usvojenost gramatičke i pravopisne norme primjereno jezičnom razvoju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-pokazuje kritički odnos prema tekstu</w:t>
            </w:r>
          </w:p>
          <w:p>
            <w:pPr>
              <w:pStyle w:val="Tijelo"/>
              <w:widowControl w:val="false"/>
              <w:shd w:val="clear" w:color="auto" w:fill="FDE9D9" w:themeFill="accent6" w:themeFillTint="33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pravilno upotrebljava broj i rod imenica i pridjeva koji se s njom slažu na oglednim primjerima</w:t>
            </w:r>
          </w:p>
          <w:p>
            <w:pPr>
              <w:pStyle w:val="Tijelo"/>
              <w:widowControl w:val="false"/>
              <w:shd w:val="clear" w:color="auto" w:fill="FDE9D9" w:themeFill="accent6" w:themeFillTint="33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točno oblikuje prošlo, sadašnja i buduće vrijeme</w:t>
            </w:r>
          </w:p>
          <w:p>
            <w:pPr>
              <w:pStyle w:val="Tijelo"/>
              <w:widowControl w:val="false"/>
              <w:shd w:val="clear" w:color="auto" w:fill="FDE9D9" w:themeFill="accent6" w:themeFillTint="33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točno oblikuje posvojne pridjeve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- </w:t>
            </w: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prema smjernicama oblikuje rečenice i tekst te funkcionalno primjenjuje jezična znanja uz uočavanje i ispravljanje pogrešaka na gramatičkoj i pravopisnoj razini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uglavnom pravilno upotrebljava broj i rod imenica i pridjeva koji se s njom slažu na oglednim primjerima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uglavnom točno oblikuje prošlo, sadašnja i buduće vrijeme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uglavnom točno oblikuje posvojne pridjeve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uz pomoć učitelja oblikuje rečenice i tekst te funkcionalno primjenjuje jezična znanja uz odstupanje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djelomično pravilno upotrebljava broj i rod imenica i pridjeva koji se s njom slažu na oglednim primjerima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djelomično točno oblikuje prošlo, sadašnja i buduće vrijeme</w:t>
            </w:r>
          </w:p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djelomično  točno oblikuje posvojne pridjeve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uz pomoć učitelja oblikuje sintagme i rečenice te  primjenjuje jezična znanja uz veća odstupanja.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 ne oblikuje rečenice i ne   primjenjuje jezična znanja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hd w:val="clear" w:color="auto" w:fill="FDE9D9" w:themeFill="accent6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HJ A.4.6.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objašnjava razliku između zavičajnoga govora i hrvatskoga standardnog jezika.</w:t>
            </w:r>
          </w:p>
        </w:tc>
        <w:tc>
          <w:tcPr>
            <w:tcW w:w="6963" w:type="dxa"/>
            <w:gridSpan w:val="3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Služi se hrvatskim standardnim jezikom u javnoj komunikaciji u skladu s usvojenim jezičnim pravilima.</w:t>
              <w:br/>
              <w:t>Razlikuje mjesni govor i hrvatski standardni jezik navodeći ogledne i česte primjere.</w:t>
              <w:br/>
              <w:t>Uočava važnost pozitivnog odnosa prema mjesnom govoru.</w:t>
              <w:br/>
              <w:t>Uočava važnost mjesnoga govora i prepoznaje njegovu komunikacijsku ulogu na pojedinome prostoru</w:t>
              <w:br/>
              <w:t>(raznolikost hrvatskih govora, jezične zajednice u Hrvatskoj i izvan granica Republike Hrvatske).</w:t>
              <w:br/>
              <w:t>Čita i sluša tekstove na kajkavskome, čakavskom i štokavskom narječju i prepoznaje kojemu narječju pripada i prepoznaje narječje kojem pripada njegov govor</w:t>
            </w:r>
          </w:p>
        </w:tc>
        <w:tc>
          <w:tcPr>
            <w:tcW w:w="4740" w:type="dxa"/>
            <w:gridSpan w:val="2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Tekstovi: bilješka, pisani sastavak, SMS, poruka elektroničke pošte, pismo, sažetak, opis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Izražava se zavičajnim govorom i objašnjava razliku između zavičajnoga govora i hrvatskog standardnog jezika te uočava važnost učenja hrvatskoga standardnog jezika i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– </w:t>
            </w:r>
            <w:r>
              <w:rPr>
                <w:rFonts w:cs="Arial" w:ascii="Arial" w:hAnsi="Arial"/>
              </w:rPr>
              <w:t>izražava pozitivan odnos prema mjesnom govoru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č</w:t>
            </w:r>
            <w:r>
              <w:rPr>
                <w:rFonts w:cs="Arial" w:ascii="Arial" w:hAnsi="Arial"/>
                <w:color w:val="231F20"/>
                <w:u w:val="none" w:color="231F20"/>
              </w:rPr>
              <w:t>ita i sluša tekstove na kajkavskome, čakavskom i štokavskom narječju i prepoznaje kojemu narječju pripada</w:t>
            </w:r>
          </w:p>
        </w:tc>
        <w:tc>
          <w:tcPr>
            <w:tcW w:w="2460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izražava se zavičajnim govorom i opisuje razliku između zavičajnoga govora i hrvatskoga standardnog jezika te uočava važnost učenja hrvatskoga standardnog jezika i pozitivnoga odnosa prema mjesnom govoru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č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ita i sluša tekstove na kajkavskome, čakavskom i štokavskom narječju i uglavnom prepoznaje kojemu narječju pripada</w:t>
            </w:r>
          </w:p>
        </w:tc>
        <w:tc>
          <w:tcPr>
            <w:tcW w:w="2078" w:type="dxa"/>
            <w:tcBorders/>
            <w:shd w:color="auto" w:fill="FDE9D9" w:themeFill="accent6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izražava se zavičajnim govorom i uglavnom prepoznaje razliku između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zavičajnoga govora i hrvatskoga standardnoga jezika</w:t>
            </w:r>
          </w:p>
        </w:tc>
        <w:tc>
          <w:tcPr>
            <w:tcW w:w="2447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-uz pomoć učitelja prepoznaje razliku između zavičajnoga govora i standardnoga hrvatskog</w:t>
            </w:r>
          </w:p>
        </w:tc>
        <w:tc>
          <w:tcPr>
            <w:tcW w:w="2293" w:type="dxa"/>
            <w:tcBorders/>
            <w:shd w:color="auto" w:fill="FDE9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prepoznaje razliku između zavičajnoga govora i standardnoga hrvatskog</w:t>
            </w:r>
          </w:p>
        </w:tc>
      </w:tr>
    </w:tbl>
    <w:p>
      <w:pPr>
        <w:pStyle w:val="Normal"/>
        <w:rPr>
          <w:rFonts w:ascii="Arial" w:hAnsi="Arial" w:cs="Arial"/>
          <w:b/>
          <w:b/>
          <w:lang w:eastAsia="hr-HR"/>
        </w:rPr>
      </w:pPr>
      <w:r>
        <w:rPr>
          <w:rFonts w:cs="Arial" w:ascii="Arial" w:hAnsi="Arial"/>
          <w:b/>
          <w:lang w:eastAsia="hr-HR"/>
        </w:rPr>
      </w:r>
    </w:p>
    <w:p>
      <w:pPr>
        <w:pStyle w:val="Normal"/>
        <w:jc w:val="center"/>
        <w:rPr>
          <w:rFonts w:ascii="Arial" w:hAnsi="Arial" w:cs="Arial"/>
          <w:b/>
          <w:b/>
          <w:lang w:eastAsia="hr-HR"/>
        </w:rPr>
      </w:pPr>
      <w:r>
        <w:rPr>
          <w:rFonts w:cs="Arial" w:ascii="Arial" w:hAnsi="Arial"/>
          <w:b/>
          <w:lang w:eastAsia="hr-HR"/>
        </w:rPr>
        <w:t>KNJIŽEVNOST I STVARALAŠTVO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Tijelo"/>
              <w:widowControl/>
              <w:shd w:val="clear" w:color="auto" w:fill="E5DFEC" w:themeFill="accent4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HJ B.4.1.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izraž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it-IT" w:eastAsia="en-US" w:bidi="ar-SA"/>
              </w:rPr>
              <w:t xml:space="preserve">ava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doživljaj književnoga teksta u skladu s vlastitim čitateljskim iskustvom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Povezuje doživljaj i razumijevanje književnoga teksta s vlastitim misaonim i emotivnim reakcijama na tekst. </w:t>
              <w:br/>
              <w:t>Povezuje sadržaj, temu i motive teksta s vlastitim iskustvom.</w:t>
              <w:br/>
              <w:t>Pokazuje radoznalost, sklonost i znatiželju za komunikaciju s književnim tekstom.</w:t>
              <w:br/>
              <w:t>Razgovara s drugim učenicima o vlastitome doživljaju teksta.</w:t>
              <w:br/>
              <w:t>Prepoznaje vrijedne poruke i mudre izreke.</w:t>
              <w:br/>
              <w:t>Argumentira vlastite doživljaje i zaključuje o uočenim vrijednostima književnoga teksta.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Tekstovi: priča, bajka, basna, pjesma, igrokaz, dječji roman, legenda, slikovnica, pripovijetka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samostalno objašnjava svoje misli i osjećaje nakon slušanja/čitanja književnog teksta (priča, bajka, basna, pjesma, igrokaz, dječji roman, legenda, slikovnica, pripovijetka) i uspoređuje ih s mislima i osjećajima drugih učenika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povezuje sadržaj, temu i motive teksta s vlastitim iskustvom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</w:rPr>
              <w:t>- p</w:t>
            </w:r>
            <w:r>
              <w:rPr>
                <w:rFonts w:cs="Arial" w:ascii="Arial" w:hAnsi="Arial"/>
                <w:color w:val="231F20"/>
                <w:u w:val="none" w:color="231F20"/>
              </w:rPr>
              <w:t>okazuje radoznalost, sklonost i znatiželju za komunikaciju s književnim tekstom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-prepoznaje i analizira vrijedne poruke i mudre izreke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-objašnjava i uspoređuje svoja zapažanja, misli i osjećaje nakon slušanja/čitanja književnog teksta s mislima i osjećajima drugih učenika te povezuje sadržaj, temu i motive teksta s vlastitim iskustvom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uz poticaj učitelja bjašnjava svoja zapažanja, misli i osjećaje nakon slušanja/čitanja </w:t>
              <w:br/>
              <w:t>književnoga teksta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-uz pomoć učitelja izražava svoje misli i osjećaje nakon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slušanja/čitanja književnoga teksta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ne izražava svoje misli i osjećaje nakon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slušanja/čitanja književnoga teksta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Tijelo"/>
              <w:widowControl/>
              <w:shd w:val="clear" w:color="auto" w:fill="E5DFEC" w:themeFill="accent4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HJ B.4.2.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čita književni tekst i objašnjava obilježja književnoga teksta.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Objašnjava osnovna obilježja pripovijetke, pjesme, bajke, basne, zagonetke, igrokaza, biografije i dječjega romana, mudre izreke.</w:t>
              <w:br/>
              <w:t>Prepoznaje pjesničke slike (slika u pokretu, slika u mirovanju), personifikaciju i onomatopeju u književnome tekstu.</w:t>
              <w:br/>
              <w:t>Prepoznaje obilježja poetskih tekstova: stih, strofa, ritam, zvučnost, slikovitost, ponavljanje u stihu, pjesničke slike, onomatopeja, personifikacija.</w:t>
              <w:br/>
              <w:t>Prepoznaje obilježja proznih tekstova: događaj, likovi, pripovjedne tehnike.</w:t>
              <w:br/>
              <w:t>Prepoznaje obilježja dramskih tekstova: lica, dijalog, monolog.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Tekstovi: priča, pripovijetka, bajka, pjesma, igrokaz, dječji roman, poslovice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čita književni tekst (priča, pripovijetka, bajka, pjesma, igrokaz, dječji roman, biografija, poslovice) -odgovara na pitanja i postavlja pitanja – samostalno objašnjava obilježja književnoga teksta i izražava mišljenje o sadržaju teksta potkrepljujući ga primjerima iz teksta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-prepoznaje pjesničke slike (slika u pokretu, slika u mirovanju), personifikaciju i onomatopeju u književnome tekstu</w:t>
              <w:br/>
              <w:t>-prepoznaje obilježja poetskih tekstova: stih, strofa, ritam, zvučnost, slikovitost, ponavljanje u stihu, pjesničke slike, onomatopeja, personifikacija.</w:t>
              <w:br/>
              <w:t>-prepoznaje obilježja proznih tekstova: događaj, likovi, pripovjedne tehnike.</w:t>
              <w:br/>
              <w:t>-prepoznaje obilježja dramskih tekstova: lica, dijalog, monolog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čita književni tekst, odgovara na pitanja i izražava mišljenje o sadržaju teksta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-uglavnom prepoznaje pjesničke slike (slika u pokretu, slika u mirovanju), personifikaciju i onomatopeju u književnome tekstu</w:t>
              <w:br/>
              <w:t>-uglavnom prepoznaje obilježja poetskih tekstova: stih, strofa, ritam, zvučnost, slikovitost, ponavljanje u stihu, pjesničke slike, onomatopeja, personifikacija.</w:t>
              <w:br/>
              <w:t>-uglavnom prepoznaje obilježja proznih tekstova: događaj, likovi, pripovjedne tehnike.</w:t>
              <w:br/>
              <w:t>-uglavnom prepoznaje obilježja dramskih tekstova: lica, dijalog, monolog.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čita književni tekst, odgovara na pitanja i postavlja pitanja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djelomično prepoznaje pjesničke slike (slika u pokretu, slika u mirovanju), personifikaciju i onomatopeju u književnome tekstu</w:t>
              <w:br/>
              <w:t>-prepoznaje obilježja poetskih tekstova: stih, strofa, ritam, zvučnost, slikovitost, ponavljanje u stihu, pjesničke slike, onomatopeja, personifikacija.</w:t>
              <w:br/>
              <w:t>-djelomično prepoznaje obilježja proznih tekstova: događaj, likovi, pripovjedne tehnike.</w:t>
              <w:br/>
              <w:t>-djelomično prepoznaje obilježja dramskih tekstova: lica, dijalog, monolog.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čita književni tekst, uz pomoć učitelja odgovara na pitanja o tekstu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-uz pomoć učitelja prepoznaje pjesničke slike (slika u pokretu, slika u mirovanju), personifikaciju i onomatopeju u književnome tekstu</w:t>
              <w:br/>
              <w:t>- uz pomoć učitelja prepoznaje obilježja poetskih tekstova: stih, strofa, ritam, zvučnost, slikovitost, ponavljanje u stihu, pjesničke slike, onomatopeja, personifikacija.</w:t>
              <w:br/>
              <w:t>- uz pomoć učitelja prepoznaje obilježja proznih tekstova: događaj, likovi, pripovjedne tehnike.</w:t>
              <w:br/>
              <w:t>- uz pomoć učitelja prepoznaje obilježja dramskih tekstova: lica, dijalog, monolog.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uspijeva odgovoriti na pitanja o tekstu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ne prepoznaje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uz pomoć učitelja prepoznaje pjesničke slike, obilježja poetskih tekstova, obilježja proznih, ni obilježja dramskih tekstova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Tijelo"/>
              <w:widowControl/>
              <w:shd w:val="clear" w:color="auto" w:fill="E5DFEC" w:themeFill="accent4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HJ B.4.3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čita književne tekstove prema vlastitome interesu i obrazlaže svoj izbor.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Razvija čitateljske navike kontinuiranim čitanjem i motivacijom za čitanjem različitih žanrova. </w:t>
              <w:br/>
              <w:t>Razlikuje dječje rječnike, enciklopedije i leksikon.</w:t>
              <w:br/>
              <w:t>Redovito izlaže svoj čitateljski izbor ostalim učenicima.</w:t>
              <w:br/>
              <w:t>Razgovara o izabranome i pročitanom književnom djelu.</w:t>
              <w:br/>
              <w:t>Izabire tekstove prema interesu sa šireg popisa predloženih književnih tekstova za čitanje i sa popisa novijih izdanja.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/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razlikuje dječje rječnike, enciklopedije i leksikon.</w:t>
              <w:br/>
              <w:t>Redovito izlaže svoj čitateljski izbor ostalim učenicima.</w:t>
              <w:br/>
              <w:t>Razgovara o izabranome i pročitanom književnom djelu -redovito izlaže svoj čitateljski izbor ostalim učenicima.</w:t>
              <w:br/>
              <w:t>-razgovara o izabranome i pročitanom književnom djelu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/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/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/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/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Tijelo"/>
              <w:widowControl/>
              <w:shd w:val="clear" w:color="auto" w:fill="E5DFEC" w:themeFill="accent4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HJ B.4.4.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se stvaralački izražava  potaknut književnim tekstom, iskustvima i doživljajima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Koristi se jezičnim vještinama, aktivnim rječnikom i temeljnim znanjima radi oblikovanja uradaka u kojima dolazi do izražaja kreativnost, originalnost i stvaralačko mišljenje.</w:t>
              <w:br/>
              <w:t>Prikuplja vlastite uratke u radnu mapu (portfolio) prateći vlastiti napredak.</w:t>
              <w:br/>
              <w:t>Stvara različite individualne uratke: pripovijeda sadržaj književnoga teksta iz perspektive drugoga lika, vremena ili mjesta, izražajno čita književne tekstove, recitira/krasnoslovi, piše dnevnik, snima audioprilog, stvara fotopriču ili fotostrip.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Učeniku se nudi stvaralački način izražavanja i mogućnost dokazivanja u kreativnom izričaju.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FF0000"/>
                <w:kern w:val="0"/>
                <w:sz w:val="22"/>
                <w:szCs w:val="22"/>
                <w:lang w:val="hr-HR" w:eastAsia="en-US" w:bidi="ar-SA"/>
              </w:rPr>
              <w:t>*LEKTIRNI ZADATAK ZA SAMOSTALAN RAD KOD KUĆE ILI U ŠKOLI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-koristi se jezičnim vještinama, aktivnim rječnikom i temeljnim jezičnim znanjima radi oblikovanja uradaka u kojima dolazi do izražaja kreativnost, originalnost i stvaralačko mišljenje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hr-HR"/>
              </w:rPr>
              <w:t>- istražuje, eksperimentira i slobodno radi lektirnoj temi, piše i crta slikovnicu, glumi u igrokazu, stvara novinsku stranicu, piše pismo podrške, crta naslovnicu knjige, crta plakat, crta strip. Učenik razvija vlastiti potencijal za stvaralaštvo i potiče i ostale učenike na javni nastup, tiskanje kraće brošure ili pisanje razrednih novina i druge stvaralačke oblike izražavanja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-koristi se jezičnim vještinama, aktivnim rječnikom i temeljnim jezičnim znanjima radi oblikovanja kreativnih uradaka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-kreativno radi na lektirnom zadatku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-djelomično se koristi jezičnim vještinama, aktivnim rječnikom i temeljnim jezičnim znanjima radi oblikovanja kreativnih uradaka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-razvija svoje stvaralačke sposobnosti.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-uz pomoć učitelja oblikuje kreativni uradak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oblikuje kreativni uradak</w:t>
            </w:r>
          </w:p>
        </w:tc>
      </w:tr>
    </w:tbl>
    <w:p>
      <w:pPr>
        <w:pStyle w:val="Normal"/>
        <w:rPr>
          <w:rFonts w:ascii="Arial" w:hAnsi="Arial" w:cs="Arial"/>
          <w:b/>
          <w:b/>
          <w:lang w:eastAsia="hr-HR"/>
        </w:rPr>
      </w:pPr>
      <w:r>
        <w:rPr>
          <w:rFonts w:cs="Arial" w:ascii="Arial" w:hAnsi="Arial"/>
          <w:b/>
          <w:lang w:eastAsia="hr-HR"/>
        </w:rPr>
      </w:r>
    </w:p>
    <w:p>
      <w:pPr>
        <w:pStyle w:val="Normal"/>
        <w:jc w:val="center"/>
        <w:rPr>
          <w:rFonts w:ascii="Arial" w:hAnsi="Arial" w:cs="Arial"/>
          <w:b/>
          <w:b/>
          <w:lang w:eastAsia="hr-HR"/>
        </w:rPr>
      </w:pPr>
      <w:r>
        <w:rPr>
          <w:rFonts w:cs="Arial" w:ascii="Arial" w:hAnsi="Arial"/>
          <w:b/>
          <w:lang w:eastAsia="hr-HR"/>
        </w:rPr>
        <w:t>KULTURA I MEDIJI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Tijelo"/>
              <w:widowControl/>
              <w:shd w:val="clear" w:color="auto" w:fill="E5DFEC" w:themeFill="accent4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HJ C.4.1.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izdvaja važne podatke koristeći se različitim izvorima primjerenima dobi.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Prepoznaje moguće izvore podataka i informacija: stručnjaci ili drugi pojedinci, školske ili narodne/gradske knjižnice, internet.</w:t>
              <w:br/>
              <w:t>Dolazi do podataka kombinirajući različite izvore.</w:t>
              <w:br/>
              <w:t>Prepoznaje, preuzima, pregledava i objašnjava materijale sa školske mrežne stranice.</w:t>
              <w:br/>
              <w:t>Upotrebljava podatke u različite svrhe: proširuje sadržaje učenja, priprema se za pisanje i govorenje.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Sadržaji iz knjižnice, s interneta, stručnjaci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u w:val="none" w:color="00000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u w:val="none" w:color="00000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samostalno objašnjava ključnu poruku ili podatak iz različitih izvora te ih oblikuje unošenjem novih podataka (crta- njem grafikona i tablica)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</w:rPr>
              <w:t>-</w:t>
            </w:r>
            <w:r>
              <w:rPr>
                <w:rFonts w:cs="Arial" w:ascii="Arial" w:hAnsi="Arial"/>
                <w:color w:val="231F20"/>
                <w:u w:val="none" w:color="231F20"/>
              </w:rPr>
              <w:t xml:space="preserve"> samostalno upotrebljava podatke u različite svrhe: proširuje sadržaje učenja, priprema se za pisanje i govorenje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-prepoznaje, preuzima, pregledava, izrađuje materijale sa školske mrežne stranice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-izdvaja ključnu poruku ili podatak iz različitih izvora te ih oblikuje unošenjem novih podataka (crtanjem grafikona i tablica)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-pregledava i pronalazi izvore podataka i izdvaja nekoliko važnih </w:t>
              <w:br/>
              <w:t>podataka prema uputi učitelja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-pregledava i pronalazi izvore podataka i izdvaja nekoliko važnih </w:t>
              <w:br/>
              <w:t>podataka prema uputi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-ne pronalazi izvore podataka i ne dolazi do potrebnih informacija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Tijelo"/>
              <w:widowControl/>
              <w:shd w:val="clear" w:color="auto" w:fill="E5DFEC" w:themeFill="accent4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HJ C.4.2.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razlikuje elektroničke medije primjerene dobi i interesima učenika.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Razlikuje televiziju, radio, internet.</w:t>
              <w:br/>
              <w:t>Gleda emisije za djecu i razgovara o njima.</w:t>
              <w:br/>
              <w:t>Objašnjava razliku između novinskih priloga na televiziji i radiju (primjerice, intervju).</w:t>
              <w:br/>
              <w:t xml:space="preserve">Pristupa društvenim mrežama uz vođenje i usmjeravanje te pretražuje mrežne portale za djecu. </w:t>
              <w:br/>
              <w:t>Gleda animirane, dokumentarne i igrane filmove i filmove dječjega filmskog stvaralaštva tematski i sadržajno primjerene recepcijskim i spoznajnim mogućnostima.</w:t>
              <w:br/>
              <w:t>Zamjećuje sličnosti i razlike između književnoga djela, kazališne predstave ili filma nastalih prema književnome djelu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Televizija, radio, Internet, dječja emisija, animirani, dokumentarni, igrani film, kazališna predstava, novine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razlikuje televiziju, radio, Internet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u w:val="none" w:color="000000"/>
              </w:rPr>
            </w:pPr>
            <w:r>
              <w:rPr>
                <w:rFonts w:cs="Arial" w:ascii="Arial" w:hAnsi="Arial"/>
                <w:color w:val="000000"/>
                <w:u w:val="none" w:color="000000"/>
              </w:rPr>
              <w:t>-</w:t>
            </w:r>
            <w:r>
              <w:rPr>
                <w:rFonts w:cs="Arial" w:ascii="Arial" w:hAnsi="Arial"/>
                <w:color w:val="231F20"/>
                <w:u w:val="none" w:color="231F20"/>
              </w:rPr>
              <w:t xml:space="preserve"> samostalno zamjećuje sličnosti i razlike između književnoga djela, kazališne predstave ili filma nastalih prema književnome djelu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u w:val="none" w:color="000000"/>
              </w:rPr>
            </w:pPr>
            <w:r>
              <w:rPr>
                <w:rFonts w:cs="Arial" w:ascii="Arial" w:hAnsi="Arial"/>
                <w:color w:val="000000"/>
                <w:u w:val="none" w:color="000000"/>
              </w:rPr>
              <w:t>-izražava mišljenje o izabranim medijskim sadržajima i služi se njima za učenje, prenošenje poruke i stvaralaštvo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u w:val="none" w:color="000000"/>
              </w:rPr>
            </w:pPr>
            <w:r>
              <w:rPr>
                <w:rFonts w:cs="Arial" w:ascii="Arial" w:hAnsi="Arial"/>
                <w:color w:val="000000"/>
                <w:u w:val="none" w:color="000000"/>
              </w:rPr>
              <w:t>-</w:t>
            </w:r>
            <w:r>
              <w:rPr>
                <w:rFonts w:cs="Arial" w:ascii="Arial" w:hAnsi="Arial"/>
                <w:color w:val="231F20"/>
                <w:u w:val="none" w:color="231F20"/>
              </w:rPr>
              <w:t xml:space="preserve"> objašnjava razliku između novinskih priloga na televiziji i radiju (intervju)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u w:val="none" w:color="00000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-izražava mišljenje o izabranim medijskim sadržajima i služi se njima za prenošenje poruke i stvaralaštvo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zamjećuje sličnosti i razlike između književnoga djela, kazališne predstave ili filma nastalih prema književnome djelu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u w:val="none" w:color="00000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-razlikuje različite vrste medija i uz pomoć učitelja izabire medijski sadržaj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djelomično zamjećuje sličnosti i razlike između književnoga djela, kazališne predstave ili filma nastalih prema književnome djelu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-uz pomoć učitelja zamjećuje sličnosti i razlike između književnoga djela, kazališne predstave ili filma nastalih prema književnome djelu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prepoznaje različite vrste medija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ne zamjećuje sličnosti i razlike između književnoga djela, kazališne predstave ili filma nastalih prema književnome djelu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ne prepoznaje različite vrste medija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5DFEC" w:themeFill="accent4" w:themeFillTint="33" w:val="clear"/>
          </w:tcPr>
          <w:p>
            <w:pPr>
              <w:pStyle w:val="Tijelo"/>
              <w:widowControl/>
              <w:shd w:val="clear" w:color="auto" w:fill="E5DFEC" w:themeFill="accent4" w:themeFillTint="33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HJ C.4.3.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Učenik razlikuje i opisuje kulturne događaje koje posjećuje i iskazuje svoje mišljenje o njima.</w:t>
            </w:r>
          </w:p>
        </w:tc>
        <w:tc>
          <w:tcPr>
            <w:tcW w:w="6963" w:type="dxa"/>
            <w:gridSpan w:val="3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Posjećuje i sudjeluje u kulturnim događajima (likovnima, glazbenim, znanstveno-popularnim).</w:t>
              <w:br/>
              <w:t>Razgovara sa sudionicima tijekom i nakon kulturnoga događaja.</w:t>
              <w:br/>
              <w:t>Izdvaja što mu se sviđa ili ne sviđa u vezi s kulturnim događajem.</w:t>
              <w:br/>
              <w:t>Izražava svoj doživljaj kulturnoga događaja crtežom, slikom, govorom ili kratkim tekstom.</w:t>
              <w:br/>
              <w:t>Izražava svoja zapažanja, misli i osjećaje nakon posjeta kulturnom događaju.</w:t>
            </w:r>
          </w:p>
        </w:tc>
        <w:tc>
          <w:tcPr>
            <w:tcW w:w="4740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Kazališne predstave za djecu, likovne izložbe, izložbe u muzejima primjerene uzrastu i interesima učenika, susreti s književnicima i ilustratorima u školi ili narodnim (gradskim, mjesnim) knjižnicama, dječji književni, filmski, obrazovni, tradicijski festivali, kulturni projekti namijenjeni djeci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-posjećuje i sudjeluje u kulturnim događajima (likovnima, glazbenim, znanstveno-popularnim)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-samostalno izražava svoj doživljaj kulturnoga događaja crtežom, slikom, govorom ili kratkim tekstom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-izražava svoja zapažanja, misli i osjećaje nakon posjeta kulturnom događaju</w:t>
            </w:r>
          </w:p>
        </w:tc>
        <w:tc>
          <w:tcPr>
            <w:tcW w:w="2460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-izražava svoj doživljaj kulturnoga događaja crtežom, slikom, govorom ili kratkim tekstom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-izražava svoja zapažanja, misli i osjećaje nakon posjeta kulturnom događaju</w:t>
            </w:r>
          </w:p>
        </w:tc>
        <w:tc>
          <w:tcPr>
            <w:tcW w:w="2078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-uz poticaj učitelja izražava svoja zapažanja, misli i osjećaje nakon posjeta kulturnom događaju</w:t>
            </w:r>
          </w:p>
        </w:tc>
        <w:tc>
          <w:tcPr>
            <w:tcW w:w="2447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-uz pomoćj učitelja izražava svoja zapažanja, misli i osjećaje nakon posjeta kulturnom događaju</w:t>
            </w:r>
          </w:p>
        </w:tc>
        <w:tc>
          <w:tcPr>
            <w:tcW w:w="2293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izražava  svoj doživljaj kulturnog događaja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MJERILA  ZA  OCJENJIVANJE PISANIH PROVJERA I ISPITA ZNANJA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Srednjipopis2-Isticanje2"/>
        <w:tblW w:w="140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19"/>
      </w:tblGrid>
      <w:tr>
        <w:trPr>
          <w:trHeight w:val="39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19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nil"/>
              <w:left w:val="nil"/>
              <w:bottom w:val="single" w:sz="24" w:space="0" w:color="C0504D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984806" w:themeColor="accent6" w:themeShade="80"/>
                <w:sz w:val="22"/>
                <w:szCs w:val="22"/>
              </w:rPr>
            </w:pPr>
            <w:r>
              <w:rPr>
                <w:rFonts w:eastAsia="" w:cs="Arial" w:ascii="Arial" w:hAnsi="Arial"/>
                <w:b/>
                <w:color w:val="984806" w:themeColor="accent6" w:themeShade="80"/>
                <w:kern w:val="0"/>
                <w:sz w:val="22"/>
                <w:szCs w:val="22"/>
                <w:lang w:val="hr-HR" w:eastAsia="en-US" w:bidi="ar-SA"/>
              </w:rPr>
              <w:t>BROJ BODOVA U POSTOTCIMA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Raspon postignuća izražen je u postotcima za pojedine ocjene i vrijedi za obrazovne predmete (Hrvatski jezik, Matematika, Priroda i društvo).</w:t>
            </w:r>
          </w:p>
        </w:tc>
      </w:tr>
      <w:tr>
        <w:trPr>
          <w:trHeight w:val="36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1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91% - 100%  ODLIČAN (5)</w:t>
            </w:r>
          </w:p>
        </w:tc>
      </w:tr>
      <w:tr>
        <w:trPr>
          <w:trHeight w:val="391" w:hRule="atLeast"/>
        </w:trPr>
        <w:tc>
          <w:tcPr>
            <w:tcW w:w="1401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90% - 79%    VRLO DOBAR (4)</w:t>
            </w:r>
          </w:p>
        </w:tc>
      </w:tr>
      <w:tr>
        <w:trPr>
          <w:trHeight w:val="36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1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78% - 64%    DOBAR (3)</w:t>
            </w:r>
          </w:p>
        </w:tc>
      </w:tr>
      <w:tr>
        <w:trPr>
          <w:trHeight w:val="391" w:hRule="atLeast"/>
        </w:trPr>
        <w:tc>
          <w:tcPr>
            <w:tcW w:w="1401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63% - 51%    DOVOLJAN (2)</w:t>
            </w:r>
          </w:p>
        </w:tc>
      </w:tr>
      <w:tr>
        <w:trPr>
          <w:trHeight w:val="39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1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  <w:t>do 50%          NEDOVOLJAN (1)</w:t>
            </w:r>
          </w:p>
        </w:tc>
      </w:tr>
      <w:tr>
        <w:trPr>
          <w:trHeight w:val="391" w:hRule="atLeast"/>
        </w:trPr>
        <w:tc>
          <w:tcPr>
            <w:tcW w:w="1401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tbl>
      <w:tblPr>
        <w:tblStyle w:val="Srednjipopis2-Isticanje5"/>
        <w:tblpPr w:bottomFromText="0" w:horzAnchor="margin" w:leftFromText="180" w:rightFromText="180" w:tblpX="0" w:tblpY="-123" w:topFromText="0" w:vertAnchor="text"/>
        <w:tblW w:w="1374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41"/>
      </w:tblGrid>
      <w:tr>
        <w:trPr>
          <w:trHeight w:val="37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41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nil"/>
              <w:left w:val="nil"/>
              <w:bottom w:val="single" w:sz="24" w:space="0" w:color="4BACC6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215868" w:themeColor="accent5" w:themeShade="80"/>
                <w:sz w:val="22"/>
                <w:szCs w:val="22"/>
              </w:rPr>
            </w:pPr>
            <w:r>
              <w:rPr>
                <w:rFonts w:eastAsia="" w:cs="Arial" w:ascii="Arial" w:hAnsi="Arial"/>
                <w:b/>
                <w:color w:val="215868" w:themeColor="accent5" w:themeShade="8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215868" w:themeColor="accent5" w:themeShade="80"/>
                <w:sz w:val="22"/>
                <w:szCs w:val="22"/>
              </w:rPr>
            </w:pPr>
            <w:r>
              <w:rPr>
                <w:rFonts w:eastAsia="" w:cs="Arial" w:ascii="Arial" w:hAnsi="Arial"/>
                <w:b/>
                <w:color w:val="215868" w:themeColor="accent5" w:themeShade="8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215868" w:themeColor="accent5" w:themeShade="80"/>
                <w:sz w:val="22"/>
                <w:szCs w:val="22"/>
              </w:rPr>
            </w:pPr>
            <w:r>
              <w:rPr>
                <w:rFonts w:eastAsia="" w:cs="Arial" w:ascii="Arial" w:hAnsi="Arial"/>
                <w:b/>
                <w:color w:val="215868" w:themeColor="accent5" w:themeShade="80"/>
                <w:kern w:val="0"/>
                <w:sz w:val="22"/>
                <w:szCs w:val="22"/>
                <w:lang w:val="hr-HR" w:eastAsia="en-US" w:bidi="ar-SA"/>
              </w:rPr>
              <w:t>DIKTAT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eastAsia="" w:cs="Arial" w:ascii="Arial" w:hAnsi="Arial"/>
                <w:color w:val="auto"/>
                <w:kern w:val="0"/>
                <w:sz w:val="22"/>
                <w:szCs w:val="22"/>
                <w:lang w:val="hr-HR" w:eastAsia="en-US" w:bidi="ar-SA"/>
              </w:rPr>
              <w:t>Pri vrednovanju i ocjenjivanju u obzir se ne uzimaju slučajne pogreške poput zamjene i ispuštanja slova.</w:t>
            </w:r>
          </w:p>
        </w:tc>
      </w:tr>
      <w:tr>
        <w:trPr>
          <w:trHeight w:val="39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4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auto"/>
                <w:kern w:val="0"/>
                <w:sz w:val="22"/>
                <w:szCs w:val="22"/>
                <w:lang w:val="hr-HR" w:eastAsia="en-US" w:bidi="ar-SA"/>
              </w:rPr>
              <w:t>1 pogreška  ODLIČAN (5)</w:t>
            </w:r>
          </w:p>
        </w:tc>
      </w:tr>
      <w:tr>
        <w:trPr>
          <w:trHeight w:val="377" w:hRule="atLeast"/>
        </w:trPr>
        <w:tc>
          <w:tcPr>
            <w:tcW w:w="1374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auto"/>
                <w:kern w:val="0"/>
                <w:sz w:val="22"/>
                <w:szCs w:val="22"/>
                <w:lang w:val="hr-HR" w:eastAsia="en-US" w:bidi="ar-SA"/>
              </w:rPr>
              <w:t>2 - 3 pogreške VRLO DOBAR (4)</w:t>
            </w:r>
          </w:p>
        </w:tc>
      </w:tr>
      <w:tr>
        <w:trPr>
          <w:trHeight w:val="3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4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auto"/>
                <w:kern w:val="0"/>
                <w:sz w:val="22"/>
                <w:szCs w:val="22"/>
                <w:lang w:val="hr-HR" w:eastAsia="en-US" w:bidi="ar-SA"/>
              </w:rPr>
              <w:t>4 – 6  pogreške DOBAR (3)</w:t>
            </w:r>
          </w:p>
        </w:tc>
      </w:tr>
      <w:tr>
        <w:trPr>
          <w:trHeight w:val="377" w:hRule="atLeast"/>
        </w:trPr>
        <w:tc>
          <w:tcPr>
            <w:tcW w:w="1374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auto"/>
                <w:kern w:val="0"/>
                <w:sz w:val="22"/>
                <w:szCs w:val="22"/>
                <w:lang w:val="hr-HR" w:eastAsia="en-US" w:bidi="ar-SA"/>
              </w:rPr>
              <w:t>7 – 9 pogrešaka DOVOLJAN (2)</w:t>
            </w:r>
          </w:p>
        </w:tc>
      </w:tr>
      <w:tr>
        <w:trPr>
          <w:trHeight w:val="3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4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color w:val="auto"/>
                <w:kern w:val="0"/>
                <w:sz w:val="22"/>
                <w:szCs w:val="22"/>
                <w:lang w:val="hr-HR" w:eastAsia="en-US" w:bidi="ar-SA"/>
              </w:rPr>
              <w:t>10 pogrešaka i više NEDOVOLJAN (1)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  <w:t>MJERILA VREDNOVANJA PREMA ISHODIMA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  <w:t>MATEMATIKA</w:t>
      </w:r>
    </w:p>
    <w:p>
      <w:pPr>
        <w:pStyle w:val="Normal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A - BROJEVI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Standardno"/>
              <w:widowControl/>
              <w:shd w:val="clear" w:color="auto" w:fill="EAF1DD" w:themeFill="accent3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A.4.1.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Služi se prirodnim brojevima do milijun.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Tijelo"/>
              <w:widowControl/>
              <w:shd w:val="clear" w:color="auto" w:fill="FFFFFF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Broji, čita, piše i uspoređuje brojeve do milijun.</w:t>
              <w:br/>
              <w:t>Navodi dekadske jedinice i opisuje njihove odnose.</w:t>
              <w:br/>
              <w:t>Prepoznaje mjesne vrijednosti pojedinih znamenaka.</w:t>
            </w:r>
          </w:p>
          <w:p>
            <w:pPr>
              <w:pStyle w:val="Tijelo"/>
              <w:widowControl/>
              <w:shd w:val="clear" w:color="auto" w:fill="FFFFFF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Koristi se višeznamenkastim brojevima.</w:t>
              <w:br/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Skup prirodnih brojeva do milijun.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Uspoređivanje brojeva do milijun.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Dekadske jedinice i mjesna vrijednost znamenaka.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-služi se brojevima do milijun ( broji, čita I uspoređuje) te ih zaokružuje na višekratnik dekadske jedinice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-prikazuje brojeve do milijun prema mjesnim vrijednostima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-poznaje odnose među dekadskim jedinicama I prepoznaje mjesne vrijednosti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uz pomoć učitelja broji, čita, piše i uspoređuje brojeve do milijun te određuje mjesnu vrijednost znamenaka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ne broji, ne čita, ne piše i ne uspoređuje brojeve do milijun te ne određuje mjesnu vrijednost znamenaka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Standardno"/>
              <w:widowControl/>
              <w:shd w:val="clear" w:color="auto" w:fill="EAF1DD" w:themeFill="accent3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Pisano zbraja i oduzima u skupu prirodnih brojeva do milijun.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Zbraja i oduzima brojeve do milijun. </w:t>
              <w:br/>
              <w:t xml:space="preserve">Primjenjuje odgovarajući matematički zapis pisanoga zbrajanja i oduzimanja. </w:t>
              <w:br/>
              <w:t xml:space="preserve">Primjenjuje svojstvo komutativnosti i vezu zbrajanja i oduzimanja. </w:t>
              <w:br/>
              <w:t xml:space="preserve">Imenuje članove računskih operacija. </w:t>
              <w:br/>
              <w:t>Rješava tekstualne zadatke.</w:t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Pisano zbrajanje i oduzimanje u skupu prirodnih brojeva do milijun.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-brzo i točno zbraja i oduzima u skupu brojeva do milijun objašnjavajući postupak pisanoga računanja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-točno i samostalno rješava tekstualne zadatke</w:t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-pisano zbraja i oduzima te suprotnom računskom operacijom provjerava rezultat uz manje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-rješava tekstualne zadatke uz manje greške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-pisano zbraja i oduzima u skupu brojeva do milijun te rješava tekstualne zadatke uz povremene pogreške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-pisano zbraja i oduzima u skupu brojeva do milijun unutar određene dekadske jedinice, uz pomoć učitelja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-ne zbraja i ne oduzima pisanim postupkom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Tijelo"/>
              <w:widowControl/>
              <w:shd w:val="clear" w:color="auto" w:fill="FFFFFF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auto"/>
                <w:kern w:val="0"/>
                <w:sz w:val="22"/>
                <w:szCs w:val="22"/>
                <w:u w:val="none" w:color="231F20"/>
                <w:lang w:val="de-DE" w:bidi="ar-SA"/>
              </w:rPr>
              <w:t>MAT OS</w:t>
            </w:r>
            <w:r>
              <w:rPr>
                <w:rFonts w:cs="Arial" w:ascii="Arial" w:hAnsi="Arial"/>
                <w:b/>
                <w:bCs/>
                <w:color w:val="auto"/>
                <w:kern w:val="0"/>
                <w:sz w:val="22"/>
                <w:szCs w:val="22"/>
                <w:u w:val="none" w:color="231F20"/>
                <w:lang w:bidi="ar-SA"/>
              </w:rPr>
              <w:t>̌ A.4.3.</w:t>
            </w:r>
          </w:p>
          <w:p>
            <w:pPr>
              <w:pStyle w:val="Tijelo"/>
              <w:widowControl/>
              <w:shd w:val="clear" w:color="auto" w:fill="FFFFFF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eastAsia="Calibri" w:cs="Arial"/>
                <w:color w:val="auto"/>
                <w:u w:val="none" w:color="231F20"/>
              </w:rPr>
            </w:pPr>
            <w:r>
              <w:rPr>
                <w:rFonts w:cs="Arial" w:ascii="Arial" w:hAnsi="Arial"/>
                <w:color w:val="auto"/>
                <w:kern w:val="0"/>
                <w:sz w:val="22"/>
                <w:szCs w:val="22"/>
                <w:u w:val="none" w:color="231F20"/>
                <w:lang w:bidi="ar-SA"/>
              </w:rPr>
              <w:t>Pisano množi i dijeli dvoznamenkastim brojevima u skupu prirodnih brojeva do milijun.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Množi i dijeli brojeve sa 10 i 100. </w:t>
              <w:br/>
              <w:t xml:space="preserve">Procjenjuje djelomični količnik. </w:t>
              <w:br/>
              <w:t xml:space="preserve">Procjenjuje rezultat u zadatku prije postupka pisanoga računanja. </w:t>
              <w:br/>
              <w:t xml:space="preserve">Primjenjuje postupak pisanoga množenja i dijeljenja dvoznamenkastim brojem u različitim tipovima zadataka. </w:t>
              <w:br/>
              <w:t>Primjenjuje svojstva računskih operacija radi provjere rezultata.</w:t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Pisano množi i dijeli dvoznamenkastim brojevima u skupu prirodnih brojeva do milijun.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-samostalno i točno množi i dijeli dvoznamenkastim brojem objašnjavajući postupak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none" w:color="000000"/>
              </w:rPr>
              <w:t>-</w:t>
            </w:r>
            <w:r>
              <w:rPr>
                <w:rFonts w:cs="Arial" w:ascii="Arial" w:hAnsi="Arial"/>
                <w:color w:val="231F20"/>
                <w:u w:val="none" w:color="231F20"/>
              </w:rPr>
              <w:t xml:space="preserve"> primjenjuje postupak pisanoga množenja i dijeljenja dvoznamenkastim brojem u različitim tipovima zadataka</w:t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-množi i dijeli dvoznamenkastim brojem objašnjavajući postupak, uz manje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primjenjuje postupak pisanoga množenja i dijeljenja dvoznamenkastim brojem u različitim tipovima zadataka, uz manje greške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množi i dijeli dvoznamenkastim brojem objašnjavajući postupak, uz veći broj grešaka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primjenjuje postupak pisanoga množenja i dijeljenja dvoznamenkastim brojem u različitim tipovima zadataka, uz veći broj grešaka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-pisano množi i dijeli dvoznamenkastim brojem uz pomoć učitelja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-ne primjenjuje postupak pisanog množenja i dijeljenja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Tijelo"/>
              <w:widowControl/>
              <w:shd w:val="clear" w:color="auto" w:fill="EAF1DD" w:themeFill="accent3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val="de-DE" w:bidi="ar-SA"/>
              </w:rPr>
              <w:t>MAT OS</w:t>
            </w: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̌ A.4.4.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Primjenjuje četiri računske operacije i odnose među brojevima u problemskim situacijama.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Odabire računsku operaciju u pojedinome zadatku. </w:t>
              <w:br/>
              <w:t xml:space="preserve">Primjenjuje svojstva računskih operacija (komutativnost, asocijativnost i distributivnost). </w:t>
              <w:br/>
              <w:t xml:space="preserve">Provjerava rješenje primjenjujući veze među računskim operacijama. </w:t>
              <w:br/>
              <w:t xml:space="preserve">Izvodi više računskih opearcija. </w:t>
              <w:br/>
              <w:t xml:space="preserve">Rješava problemske zadatke s uporabom i bez uporabe zagrada. </w:t>
              <w:br/>
              <w:t xml:space="preserve">Procjenjuje rezultat. </w:t>
              <w:br/>
              <w:t xml:space="preserve">Upotrebljava nazive članova računskih operacija. </w:t>
              <w:br/>
              <w:t>Korelacija s međupredmetnim temama Osobni i socijalni razvoj, Učiti kako učiti, Poduzetništvo, Održivi razvoj i Građanski odgoj i obrazovanje.</w:t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Primjena računskih operacija i odnosa među brojevima u rješavanju problemskih situacija.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-samostalno smišlja problemske situacije u kojima primjenjuje četiri računske operacije i odnose među brojevima u skupu brojeva do milijun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-samostalno i točno rješava problemske zadatke s uporabom i bez uporabe zagrada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-primjenjuje različite strategije u rješavanju problemskih situacija, uz manje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-rješava problemske zadatke s uporabom i bez uporabe zagrada, uz manje greške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-primjenjuje različite strategije u rješavanju jednostavnih problemskih situacija, uz veći broj grešaka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rješava problemske zadatke s uporabom i bez uporabe zagrada, uz veći broj grešaka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-rješava zadatke s više računskih operacija i jednostavne problemske situacije uz pomoć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rješava problemske zadatke s uporabom i bez uporabe zagrada uz pomoć učitelja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-ne rješava zadatke s više računskih operacija i jednostavne problemske situacije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eastAsia="Calibri" w:cs="Arial"/>
          <w:b/>
          <w:b/>
          <w:bCs/>
        </w:rPr>
      </w:pPr>
      <w:r>
        <w:rPr>
          <w:rFonts w:cs="Arial" w:ascii="Arial" w:hAnsi="Arial"/>
          <w:color w:val="FF0000"/>
        </w:rPr>
        <w:t>B -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  <w:color w:val="FF0000"/>
        </w:rPr>
        <w:t>ALGEBRA I FUNKCIJE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Standardno"/>
              <w:widowControl/>
              <w:shd w:val="clear" w:color="auto" w:fill="F2DBDB" w:themeFill="accen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B.4.1.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Određuje vrijednost nepoznate veličine u jednakostima ili nejednakostima.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Razlikuje jednakosti i nejednakosti. </w:t>
              <w:br/>
              <w:t xml:space="preserve">Koristi se slovom kao oznakom za nepoznati broj u jednakostima i nejednakostima. </w:t>
              <w:br/>
              <w:t>Računa vrijednost nepoznate veličine primjenjujući veze između računskih operacija.</w:t>
              <w:br/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Određivanje vrijednosti nepoznate veličine u jednakostima ili nejednakostima. Slovo kao oznaka za broj.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-primjenjuje zapis u kojemu se koristi nepoznatom veličinom u problemskim situacijama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  <w:r>
              <w:rPr>
                <w:rFonts w:cs="Arial" w:ascii="Arial" w:hAnsi="Arial"/>
                <w:color w:val="231F20"/>
                <w:u w:val="none" w:color="231F20"/>
              </w:rPr>
              <w:t xml:space="preserve"> samostalno i točno se koristi slovom kao oznakom za nepoznati broj u jednakostima i nejednakostima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-određuje vrijednost nepoznate veličine u jednakostima ili nejednakostima, a rezultat provjerava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-koristi se slovom kao oznakom za nepoznati broj u jednakostima i nejednakostima uz manje greške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-određuje vrijednost nepoznate veličine primjenjujući veze između računskih operacija, uz veći broj grešaka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-koristi se slovom kao oznakom za nepoznati broj u jednakostima i nejednakostima uz veći broj grešaka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-određuje vrijednost nepoznate veličine u jednakostima uz pomoć učitelja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koristi se slovom kao oznakom za nepoznati broj u jednakostima i nejednakostima uz pomoć učitelja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-ne određuje vrijednost nepoznate veličine u jednakostima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-ne koristi se slovom kao oznakom za nepoznati broj u jednakostima</w:t>
            </w:r>
          </w:p>
        </w:tc>
      </w:tr>
    </w:tbl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eastAsia="Calibri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C-OBLIK I PROSTOR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Standardno"/>
              <w:widowControl/>
              <w:shd w:val="clear" w:color="auto" w:fill="C6D9F1" w:themeFill="tex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C.4.1.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Određuje i crta kut.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Opisuje pojam kuta. </w:t>
              <w:br/>
              <w:t xml:space="preserve">Prepoznaje, uspoređuje i crta pravi, šiljasti i tupi kut. </w:t>
              <w:br/>
              <w:t xml:space="preserve">Imenuje vrh i krakove kuta. </w:t>
              <w:br/>
              <w:t>Prepoznaje i istič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nl-NL" w:eastAsia="en-US" w:bidi="ar-SA"/>
              </w:rPr>
              <w:t>e toc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̌ke koje (ne)pripadaju kutu.</w:t>
              <w:br/>
              <w:t xml:space="preserve">Koristi se oznakom kuta (kut </w:t>
            </w:r>
            <w:r>
              <w:rPr>
                <w:rFonts w:eastAsia="Calibri" w:cs="Arial" w:ascii="Arial" w:hAnsi="Arial"/>
                <w:i/>
                <w:iCs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aVb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) pazeći na orijentaciju (suprotno od kretanja kazaljki na satu).</w:t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Pravi, šiljasti i tupi kut.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Crtanje kuta.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-precizno crta zadani kut (pravi, šiljasti, tupi) te ga pravilno zapisuje matematičkim simbolom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-točno imenuje vrh i krakove kuta, koristeći se oznakom kuta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crta različite kutove te određuje vrh i krakove kuta uz manje greške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poznaje šiljasti, pravi i tupi kut te određuje (ne)pripadnost točke kutu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-kutove crta uz veće greške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-prepoznaje kut na osnovnim geometrijskim likovima, crta kutove uz pomoć učitelja</w:t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-ne prepoznaje kut na osnovnim geometrijskim likovima, ne crta kutove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992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Standardno"/>
              <w:widowControl/>
              <w:shd w:val="clear" w:color="auto" w:fill="C6D9F1" w:themeFill="tex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C.4.2.</w:t>
            </w:r>
          </w:p>
          <w:p>
            <w:pPr>
              <w:pStyle w:val="Standardno"/>
              <w:widowControl/>
              <w:shd w:val="clear" w:color="auto" w:fill="C6D9F1" w:themeFill="tex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Razlikuje i opisuje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trokute prema duljinama stranica te pravokutni trokut.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Tijel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Razlikuje i opisuje trokute prema duljinama stranica i dijeli ih na jednakostranične, raznostranične i jednakokračne trokute.</w:t>
            </w:r>
          </w:p>
          <w:p>
            <w:pPr>
              <w:pStyle w:val="Tijel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before="0" w:after="16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Razlikuje i opisuje pravokutni trokut u odnosu na druge trokute.</w:t>
            </w:r>
          </w:p>
          <w:p>
            <w:pPr>
              <w:pStyle w:val="Tijel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Vrste trokuta prema duljini stranica (jednakostranični, raznostranični, jednakokračni).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Pravokutni trokut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kern w:val="0"/>
                <w:lang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-prepoznaje i razlikuje različite vrste trokuta (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jednakostranične, raznostranične i jednakokračne, pravokutne)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>-razlikuje i opisuje pravokutni trokut u odnosu na druge trokute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-prepoznaje i razlikuje različite vrste trokuta (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jednakostranične, raznostranične i jednakokračne, pravokutne) uz manje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-razlikuje i opisuje pravokutni trokut u odnosu na druge trokute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-prepoznaje i razlikuje različite vrste trokuta (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jednakostranične, raznostranične i jednakokračne, pravokutne) uz veće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-razlikuje i opisuje pravokutni trokut u odnosu na druge trokute uz pomoć učitelja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-nabraja vrste trokuta (jednakostranični, jednakokračni, raznostranični i pravokutni trokut</w:t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nabraja vrste trokuta (jednakostranični, jednakokračni, raznostranični i pravokutni trokut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Standardno"/>
              <w:widowControl/>
              <w:shd w:val="clear" w:color="auto" w:fill="C6D9F1" w:themeFill="tex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MAT OŠ </w:t>
            </w: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val="it-IT" w:bidi="ar-SA"/>
              </w:rPr>
              <w:t>C.4.3.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Opisuje i konstruira krug i njegove elemente.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Opisuje i konstruira krug i njegove elemente (kružnica, polumjer i središte). </w:t>
              <w:br/>
              <w:t xml:space="preserve">Opisuje odnos kruga i kružnice. </w:t>
              <w:br/>
              <w:t>Prepoznaje polumjer i središte kruga i kružnice.</w:t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Krug i kružnica.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Konstrukcija kruga i njegovih elemenata (kružnica, polumjer, središte).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samostalno i precizno opisuje i konstruira krug i njegove elemente (kružnica, polumjer i središte) </w:t>
              <w:br/>
              <w:t xml:space="preserve">-samostalno opisuje odnos kruga i kružnice </w:t>
              <w:br/>
              <w:t>- samostalno prepoznaje polumjer i središte kruga i kružnice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none" w:color="000000"/>
              </w:rPr>
              <w:t>-samostalno konstruira motive koristeći se krugom i kružnicom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-opisuje i konstruira krug i njegove elemente (kružnica, polumjer i središte) </w:t>
              <w:br/>
              <w:t xml:space="preserve">- opisuje odnos kruga i kružnice </w:t>
              <w:br/>
              <w:t>- prepoznaje polumjer i središte kruga i kružnice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-opisuje i konstruira krug i njegove elemente (kružnica, polumjer i središte) uz  pomoć</w:t>
              <w:br/>
              <w:t>- prepoznaje polumjer i središte kruga i kružnice uz pomoć učitelja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-razlikuje i konstruira krug i kružnicu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-ne razlikuje i ne konstruira krug i kružnicu uz pomoć učitelja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Standardno"/>
              <w:widowControl/>
              <w:shd w:val="clear" w:color="auto" w:fill="C6D9F1" w:themeFill="tex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MAT OŠ </w:t>
            </w: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val="it-IT" w:bidi="ar-SA"/>
              </w:rPr>
              <w:t>C.4.4.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Crta i konstruira geometrijske likove.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Geometrijskim priborom crta osnovne geometrijske likove (raznostranični i pravokutni trokut, pravokutnik i kvadrat). </w:t>
              <w:br/>
              <w:t>Konstruira jednakostranične, raznostranične i jednakokračne trokute.</w:t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Crtanje geometrijskih likova (raznostranični i pravokutni trokut, pravokutnik i kvadrat). Konstruiranje geometrijskih likova (jednakostranične, raznostranične i jednakokračne trokute).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samostalno i precizno crta i konstruira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osnovne geometrijske likove (raznostranični i pravokutni trokut, pravokutnik i kvadrat) </w:t>
              <w:br/>
              <w:t>jednakostranične, raznostranične i jednakokračne trokute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-crta i konstruira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osnovne geometrijske likove (raznostranični i pravokutni trokut, pravokutnik i kvadrat) </w:t>
              <w:br/>
              <w:t>jednakostranične, raznostranične i jednakokračne trokute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-crta i konstruira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osnovne geometrijske likove (raznostranični i pravokutni trokut, pravokutnik i kvadrat) </w:t>
              <w:br/>
              <w:t>jednakostranične, raznostranične i jednakokračne trokute uz pomoć učitelja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-crta raznostranični trokut</w:t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crta niti jedan geometrijski lik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C6D9F1" w:themeFill="text2" w:themeFillTint="33" w:val="clear"/>
          </w:tcPr>
          <w:p>
            <w:pPr>
              <w:pStyle w:val="Standardno"/>
              <w:widowControl/>
              <w:shd w:val="clear" w:color="auto" w:fill="C6D9F1" w:themeFill="tex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C.4.5.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Povezuje sve poznate geometrijske oblike.</w:t>
            </w:r>
          </w:p>
        </w:tc>
        <w:tc>
          <w:tcPr>
            <w:tcW w:w="6963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Označava vrhove, stranice i kutove trokuta te trokut zapisuje simbolima (</w:t>
            </w:r>
            <w:r>
              <w:rPr>
                <w:rFonts w:eastAsia="Arial Unicode MS" w:cs="Cambria Math" w:ascii="Cambria Math" w:hAnsi="Cambria Math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△</w:t>
            </w:r>
            <w:r>
              <w:rPr>
                <w:rFonts w:eastAsia="Calibri" w:cs="Arial" w:ascii="Arial" w:hAnsi="Arial"/>
                <w:i/>
                <w:iCs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ABC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). </w:t>
              <w:br/>
              <w:t xml:space="preserve">Povezuje sve geometrijske pojmove u opisivanju geometrijskih objekata (vrhovi, strane, stranice, bridovi, kutovi). </w:t>
              <w:br/>
            </w:r>
          </w:p>
        </w:tc>
        <w:tc>
          <w:tcPr>
            <w:tcW w:w="4740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Povezivanje geometrijskih pojmova u opisivanju geometrijskih objekata (vrhovi, strane, stranice, bridovi, kutovi).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samostalno i točno označava vrhove, stranice i kutove trokuta te trokut zapisuje simbolima (</w:t>
            </w:r>
            <w:r>
              <w:rPr>
                <w:rFonts w:eastAsia="Arial Unicode MS" w:cs="Cambria Math" w:ascii="Cambria Math" w:hAnsi="Cambria Math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△</w:t>
            </w:r>
            <w:r>
              <w:rPr>
                <w:rFonts w:eastAsia="Calibri" w:cs="Arial" w:ascii="Arial" w:hAnsi="Arial"/>
                <w:i/>
                <w:iCs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ABC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).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>-povezuje i upotrebljava geometrijske oblike u stvaranju i analiziranju složenijih oblika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-točno povezuje sve geometrijske pojmove u opisivanju geometrijskih objekata (vrhovi, strane, stranice, bridovi, kutovi)</w:t>
            </w:r>
          </w:p>
        </w:tc>
        <w:tc>
          <w:tcPr>
            <w:tcW w:w="2460" w:type="dxa"/>
            <w:tcBorders/>
            <w:shd w:color="auto" w:fill="C6D9F1" w:themeFill="text2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-opisuje kocku, kvadar, kvadrat i pravokutnik; povezuje vrhove lika i njihovim oznakama uz manje greške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 povezuje sve geometrijske pojmove u opisivanju geometrijskih objekata (vrhovi, strane, stranice, bridovi, kutovi) uz manje greške</w:t>
            </w:r>
          </w:p>
        </w:tc>
        <w:tc>
          <w:tcPr>
            <w:tcW w:w="2078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-povezuje sve geometrijske pojmove u opisivanju geometrijskih objekata (vrhovi, plohe, stranice, bridovi, kutovi) uz pomoć učitelja</w:t>
            </w:r>
          </w:p>
        </w:tc>
        <w:tc>
          <w:tcPr>
            <w:tcW w:w="244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-prepoznaje vrhove likova i tijela kao točke, stranice i bridove kao dužine, ravne plohe kao geometrijske likove</w:t>
            </w:r>
          </w:p>
        </w:tc>
        <w:tc>
          <w:tcPr>
            <w:tcW w:w="2293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-ne prepoznaje vrhove likova i tijela kao točke, stranice i bridove kao dužine, ravne plohe kao geometrijske likove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eastAsia="Calibri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D - MJERENJE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D.4.1.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Procjenjuje i mjeri volumen tekućine.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FBD4B4" w:val="clear"/>
                <w:lang w:bidi="ar-SA"/>
              </w:rPr>
              <w:t xml:space="preserve">Primjenjuje pojam volumena (obujma, zapremnine) tekućine. </w:t>
              <w:br/>
              <w:t xml:space="preserve">Upoznaje i uspoređuje različite posude za čuvanje tekućine. </w:t>
              <w:br/>
              <w:t xml:space="preserve">Opisuje vezu između oblika i volumena tekućine. </w:t>
              <w:br/>
              <w:t xml:space="preserve">Procjenjuje i mjeri volumen tekućine prelijevanjem. </w:t>
              <w:br/>
              <w:t xml:space="preserve">Imenuje jedinice za mjerenje volumena tekućine (litra, decilitar). </w:t>
              <w:br/>
              <w:t xml:space="preserve">Računa s mjernim jedinicama za volumen tekućine. </w:t>
              <w:br/>
              <w:t>Preračunava mjerne jedinice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Procjena i mjerenje volumena tekućine.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Računanje s mjernim jedinicama za volumen tekućine (litra, decilitar).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Preračunavanje mjernih jedinica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 samostalno opisuje vezu između oblika i volumena tekućine</w:t>
            </w:r>
          </w:p>
          <w:p>
            <w:pPr>
              <w:pStyle w:val="Tijel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-samostalno i točno računa s mjernim jedinicama za volumen tekućine te</w:t>
              <w:br/>
              <w:t>preračunava mjerne jedinice</w:t>
            </w:r>
          </w:p>
          <w:p>
            <w:pPr>
              <w:pStyle w:val="Tijel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-samostalno I točno povezuje mjerne jedinice za volumen tekućine u različitim problemskim situacijama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opisuje vezu između oblika i volumena tekućine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-računa s mjernim jedinicama za volumen tekućine te</w:t>
              <w:br/>
              <w:t>preračunava mjerne jedinice uz manje greške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povezuje mjerne jedinice za volumen tekućine u različitim problemskim situacijama uz manje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-opisuje vezu između oblika i volumena tekućine uz pomoć učitelja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-računa s mjernim jedinicama za volumen tekućine te</w:t>
              <w:br/>
              <w:t>preračunava mjerne jedinice uz veće greške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povezuje mjerne jedinice za volumen tekućine u različitim problemskim situacijama uz veće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-računa s mjernim jedinicama za volumen tekućine te</w:t>
              <w:br/>
              <w:t>preračunava mjerne jedinice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-ne računa s mjernim jedinicama za volumen tekućine</w:t>
            </w:r>
            <w:bookmarkStart w:id="0" w:name="_Hlk75875048"/>
            <w:bookmarkEnd w:id="0"/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D.4.2.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Uspoređuje površine likova te ih mjeri jediničnim kvadratima.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FBD4B4" w:val="clear"/>
                <w:lang w:bidi="ar-SA"/>
              </w:rPr>
              <w:t xml:space="preserve">U ravnini uspoređuje likove različitih površina prema veličini dijela ravnine koju zauzimaju te tako upoznaje pojam površine. </w:t>
              <w:br/>
              <w:t xml:space="preserve">Mjeri površinu likova ucrtanih u kvadratnoj mreži prebrojavanjem kvadrata. </w:t>
              <w:br/>
              <w:t xml:space="preserve">Ucrtava u kvadratnu mrežu likove zadane površine. </w:t>
              <w:br/>
              <w:t>Mjeri površine pravokutnih likova prekrivanjem površine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 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FBD4B4" w:val="clear"/>
                <w:lang w:bidi="ar-SA"/>
              </w:rPr>
              <w:t xml:space="preserve">jediničnim kvadratom. </w:t>
              <w:br/>
              <w:t xml:space="preserve">Poznaje standardne mjere za površinu (centimetar kvadratni, decimetar kvadratni, metar kvadratni). </w:t>
              <w:br/>
              <w:t xml:space="preserve">Mjeri pravokutne površine u neposrednoj okolini. </w:t>
              <w:br/>
              <w:t>Preračunava mjerne jedinice.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Mjerenje površine.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Kvadratna mreža.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Mjerne jedinice za površinu.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Preračunavanje mjernih jedinica.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spretno i precizno mjeri površine likova jediničnim kvadratima i zapisuje ih standardnim jedinicama za mjerenje površine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  <w:r>
              <w:rPr>
                <w:rFonts w:cs="Arial" w:ascii="Arial" w:hAnsi="Arial"/>
                <w:color w:val="231F20"/>
                <w:u w:val="none" w:color="231F20"/>
              </w:rPr>
              <w:t xml:space="preserve"> samostalno mjeri pravokutne površine u neposrednoj okolini</w:t>
              <w:br/>
              <w:t>- točno preračunava mjerne jedinice</w:t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mjeri površine likova jediničnim kvadratima i zapisuje ih standardnim jedinicama za mjerenje površine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mjeri pravokutne površine u neposrednoj okolini uz manje greške</w:t>
              <w:br/>
              <w:t>- preračunava mjerne jedinice uz manje greške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mjeri površine likova jediničnim kvadratima i zapisuje ih standardnim jedinicama za mjerenje površine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mjeri pravokutne površine u neposrednoj okolini uz veće greške</w:t>
              <w:br/>
              <w:t>- preračunava mjerne jedinice uz veće greške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mjeri površine likova jediničnim kvadratima i zapisuje ih standardnim jedinicama za mjerenje površine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mjeri pravokutne površine u neposrednoj okolini uz pomoć učitelja</w:t>
              <w:br/>
              <w:t>- preračunava mjerne jedinice uz pomoć učitelja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mjeri površine likova jediničnim kvadratima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ne mjeri pravokutne površine u neposrednoj okolini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ne preračunava mjerne jedinice</w:t>
            </w:r>
          </w:p>
        </w:tc>
      </w:tr>
    </w:tbl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eastAsia="Calibri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E - PODATCI, STATISTIKA I VJEROJATNOST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CCC0D9" w:themeFill="accent4" w:themeFillTint="66" w:val="clear"/>
          </w:tcPr>
          <w:p>
            <w:pPr>
              <w:pStyle w:val="Standardn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E.4.1.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Provodi jednostavna istraživanja i analizira dobivene podatke.</w:t>
            </w:r>
          </w:p>
        </w:tc>
        <w:tc>
          <w:tcPr>
            <w:tcW w:w="6963" w:type="dxa"/>
            <w:gridSpan w:val="3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Osmišljava i provodi jednostavna istraživanja u svojoj neposrednoj okolini. </w:t>
              <w:br/>
              <w:t xml:space="preserve">Prikuplja podatke, razvrstava ih i prikazuje neformalno i formalno. </w:t>
              <w:br/>
              <w:t>Čita podatke iz tablica i jednostavnih dijagrama.</w:t>
            </w:r>
          </w:p>
        </w:tc>
        <w:tc>
          <w:tcPr>
            <w:tcW w:w="4740" w:type="dxa"/>
            <w:gridSpan w:val="2"/>
            <w:tcBorders/>
            <w:shd w:color="auto" w:fill="CCC0D9" w:themeFill="accent4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Prikupljanje, razvrstavanje i prikazivanje podataka (tablice, dijagrami).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samostalno o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smišljava i provodi jednostavna istraživanja u svojoj neposrednoj okolini </w:t>
              <w:br/>
              <w:t>- samostalno prikuplja podatke, razvrstava ih i prikazuje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precizno i točno čita podatke iz tablica i jednostavnih dijagrama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none" w:color="000000"/>
              </w:rPr>
              <w:t>- u jednostavnim istraživanjima analizira dobivene podatke</w:t>
            </w:r>
          </w:p>
        </w:tc>
        <w:tc>
          <w:tcPr>
            <w:tcW w:w="2460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samostalno prikuplja podatke, razvrstava ih i prikazuje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čita podatke iz tablica i jednostavnih dijagrama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 jednostavnim istraživanjima analizira dobivene podatke uz manje greške</w:t>
            </w:r>
          </w:p>
        </w:tc>
        <w:tc>
          <w:tcPr>
            <w:tcW w:w="207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prikuplja podatke, razvrstava ih i prikazuje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čita podatke iz tablica i jednostavnih dijagrama uz veće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4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jednostavnim istraživanjima prikuplja i prikazuje odabrane podatke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čita podatke iz tablica i jednostavnih dijagrama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čita podatke iz jednostavnih tablica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CCC0D9" w:themeFill="accent4" w:themeFillTint="66" w:val="clear"/>
          </w:tcPr>
          <w:p>
            <w:pPr>
              <w:pStyle w:val="Standardn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MAT OŠ E.4.2.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Opisuje vjerojatnost događaja.</w:t>
            </w:r>
          </w:p>
        </w:tc>
        <w:tc>
          <w:tcPr>
            <w:tcW w:w="6963" w:type="dxa"/>
            <w:gridSpan w:val="3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 razgovoru iskazuje mogućnosti.</w:t>
              <w:br/>
              <w:t>Uspoređuje ishode riječima vjerojatniji, manje vjerojatan, najvjerojatniji.</w:t>
              <w:br/>
            </w:r>
          </w:p>
        </w:tc>
        <w:tc>
          <w:tcPr>
            <w:tcW w:w="4740" w:type="dxa"/>
            <w:gridSpan w:val="2"/>
            <w:tcBorders/>
            <w:shd w:color="auto" w:fill="CCC0D9" w:themeFill="accent4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Opisivanje vjerojatnosti događaja.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vjerojatnosti ishoda u različitim okolnostima.</w:t>
            </w:r>
          </w:p>
        </w:tc>
        <w:tc>
          <w:tcPr>
            <w:tcW w:w="2460" w:type="dxa"/>
            <w:tcBorders/>
            <w:shd w:color="auto" w:fill="CCC0D9" w:themeFill="accent4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određuje i objašnjava koji je ishod vjerojatniji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07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avodi događaje koji su sigurni, mogući i nemogući uz vođenje učitelja</w:t>
            </w:r>
          </w:p>
        </w:tc>
        <w:tc>
          <w:tcPr>
            <w:tcW w:w="244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r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azlikuje moguće i nemoguće događaje uz pomoć učitelja</w:t>
            </w:r>
          </w:p>
        </w:tc>
        <w:tc>
          <w:tcPr>
            <w:tcW w:w="2293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r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azlikuje moguće i nemoguće događaje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  <w:t>MJERILA VREDNOVANJA PREMA ISHODIMA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  <w:t>PRIRODA I DRUŠTVO</w:t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eastAsia="Calibri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ORGANIZIRANOST SVIJETA OKO NAS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SHODA</w:t>
            </w:r>
          </w:p>
        </w:tc>
        <w:tc>
          <w:tcPr>
            <w:tcW w:w="4740" w:type="dxa"/>
            <w:gridSpan w:val="2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B8CCE4" w:themeFill="accent1" w:themeFillTint="66" w:val="clear"/>
          </w:tcPr>
          <w:p>
            <w:pPr>
              <w:pStyle w:val="Tijel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PID OŠ A.4.1.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zaključuje o organiziranosti ljudskoga tijela i životnih zajednica.</w:t>
            </w:r>
          </w:p>
        </w:tc>
        <w:tc>
          <w:tcPr>
            <w:tcW w:w="6963" w:type="dxa"/>
            <w:gridSpan w:val="3"/>
            <w:tcBorders/>
            <w:shd w:color="auto" w:fill="B8CCE4" w:themeFill="accent1" w:themeFillTint="66" w:val="clear"/>
          </w:tcPr>
          <w:p>
            <w:pPr>
              <w:pStyle w:val="Tijel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Istražuje organiziranost biljaka i životinja na primjeru životne zajednice.</w:t>
            </w:r>
          </w:p>
          <w:p>
            <w:pPr>
              <w:pStyle w:val="Tijel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Razlikuje životne uvjete u životnoj zajednici i povezuje ih s njezinom organiziranošću.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Istražuje ljudsko tijelo kao cjelinu i dovodi u vezu zajedničku ulogu pojedinih dijelova tijela (organi i organski sustavi).</w:t>
            </w:r>
          </w:p>
        </w:tc>
        <w:tc>
          <w:tcPr>
            <w:tcW w:w="4740" w:type="dxa"/>
            <w:gridSpan w:val="2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povezanost staništa i biljnoga i životinjskoga svijeta, organiziranost životnih zajednica s obzirom na životne uvjete koji u njima vladaju.</w:t>
              <w:br/>
              <w:t>Ljudsko tijelo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Međusobna povezanost svih sustava organa</w:t>
              <w:br/>
              <w:br/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samostalno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istražuje organiziranost biljaka i životinja na primjeru životne zajednice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 xml:space="preserve">- </w:t>
            </w:r>
            <w:r>
              <w:rPr>
                <w:rFonts w:cs="Arial" w:ascii="Arial" w:hAnsi="Arial"/>
                <w:sz w:val="22"/>
                <w:szCs w:val="22"/>
                <w:u w:val="none" w:color="000000"/>
              </w:rPr>
              <w:t>zaključuje o organiziranosti životnih zajednica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u w:val="none" w:color="000000"/>
              </w:rPr>
              <w:t>- analizira i objašnjava povezanost staništa i biljnoga i životinjskoga svijeta i organiziranost životnih zajednica s obzirom na životne uvjete koji u njima vladaju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>- uočava da je svaki organ važan za djelovanje cijeloga organizma te da je ljudsko tijelo cjelina o kojoj se trebamo brinuti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u w:val="none" w:color="000000"/>
              </w:rPr>
              <w:t>- zaključuje o organiziranosti ljudskoga tijela i međusobnoj povezanosti svih sustava organa</w:t>
              <w:br/>
              <w:br/>
            </w:r>
          </w:p>
        </w:tc>
        <w:tc>
          <w:tcPr>
            <w:tcW w:w="2460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istražuje organiziranost biljaka i životinja na primjeru životne zajednice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- </w:t>
            </w: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zaključuje o organiziranosti životnih zajednica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analizira i objašnjava povezanost staništa i biljnoga i životinjskoga svijeta i organiziranost životnih zajednica s obzirom na životne uvjete koji u njima vladaju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razumije da je svaki organ važan za djelovanje cijeloga organizma te da je ljudsko tijelo cjelina o kojoj se trebamo brinuti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zaključuje o organiziranosti ljudskoga tijela i međusobnoj povezanosti svih sustava organa</w:t>
              <w:br/>
              <w:t>organizma te da je ljudsko tijelo cjelina o kojoj se trebamo brinuti uz manje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zaključuje o organiziranosti ljudskoga tijela i međusobnoj povezanosti svih sustava organa</w:t>
            </w:r>
          </w:p>
        </w:tc>
        <w:tc>
          <w:tcPr>
            <w:tcW w:w="2078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-istražuje organiziranost biljaka i životinja na primjeru životne zajednice prema uputi učitelja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- </w:t>
            </w: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opisuje organiziranost životnih zajednica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opisuje  povezanost staništa i biljnoga i životinjskoga svijeta i organiziranost životnih zajednica s obzirom na životne uvjete koji u njima vladaju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važnost organa za djelovanje cijeloga organizma te da je ljudsko tijelo cjelina o kojoj se trebamo brinuti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objašnjava  organiziranost ljudskoga tijela i međusobnu povezanosti svih sustava organa uz greške</w:t>
              <w:br/>
            </w:r>
          </w:p>
        </w:tc>
        <w:tc>
          <w:tcPr>
            <w:tcW w:w="2447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-istražuje organiziranost biljaka i životinja na primjeru životne zajednice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opisuje organiziranost životnih zajednica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opisuje  povezanost staništa i biljnoga i životinjskoga svijeta i organiziranost životnih zajednica s obzirom na životne uvjete koji u njima vladaju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važnost organa za djelovanje cijeloga organizma te da je ljudsko tijelo cjelina o kojoj se trebamo brinuti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nabraja primjere organiziranosti  ljudskoga tijela i međusobne povezanosti svih sustava organa uz </w:t>
              <w:br/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ne istražuje organiziranost biljaka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- ne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opisuje organiziranost životnih zajednica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opisuje  povezanost staništa i biljnoga i životinjskoga svijeta i organiziranost životnih zajednica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opisuje važnost organa za djelovanje cijeloga organizma te da je ljudsko tijelo cjelina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B8CCE4" w:themeFill="accent1" w:themeFillTint="66" w:val="clear"/>
          </w:tcPr>
          <w:p>
            <w:pPr>
              <w:pStyle w:val="Tijel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PID OŠ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obrazlaže i prikazuje vremenski slijed događaja te organizira svoje vrijeme.</w:t>
            </w:r>
          </w:p>
        </w:tc>
        <w:tc>
          <w:tcPr>
            <w:tcW w:w="6963" w:type="dxa"/>
            <w:gridSpan w:val="3"/>
            <w:tcBorders/>
            <w:shd w:color="auto" w:fill="B8CCE4" w:themeFill="accent1" w:themeFillTint="66" w:val="clear"/>
          </w:tcPr>
          <w:p>
            <w:pPr>
              <w:pStyle w:val="Tijel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Objašnjava važnost organizacije vremena na vlastitim primjerima.</w:t>
            </w:r>
          </w:p>
          <w:p>
            <w:pPr>
              <w:pStyle w:val="Tijel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Oblikuje i organizira svoje vrijeme, planira svoje slobodno vrijeme (predviđa potrebno vrijeme za pisanje domaće zadaće i vrijeme za igru).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740" w:type="dxa"/>
            <w:gridSpan w:val="2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vremenska crta, raspored obveza, kalendar, podsjetnik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prikazuje vremenski slijed događaja uočavajući njihovu uzročno-posljedičnu povezanost, organizira svoje vrijeme i vrednuje svoje planiranje</w:t>
            </w:r>
          </w:p>
        </w:tc>
        <w:tc>
          <w:tcPr>
            <w:tcW w:w="2460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i prikazuje vremenski slijed događaja te procjenjuje i planira svoje vrijeme i aktivnosti</w:t>
            </w:r>
          </w:p>
        </w:tc>
        <w:tc>
          <w:tcPr>
            <w:tcW w:w="2078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vremenski slijed događaja i planira svoje vrijeme i aktivnosti uz pomoć učitelja ili članova obitelji</w:t>
            </w:r>
          </w:p>
        </w:tc>
        <w:tc>
          <w:tcPr>
            <w:tcW w:w="2447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prepoznaje i navodi vremenski slijed događaja i uz pomoć procjenjuje vrijeme potrebno za vlastite aktivnosti</w:t>
            </w:r>
          </w:p>
        </w:tc>
        <w:tc>
          <w:tcPr>
            <w:tcW w:w="2293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navodi vremenski slijed događaja, ne procjenjuje vrijeme potrebno za vlastite aktivnosti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B8CCE4" w:themeFill="accent1" w:themeFillTint="66" w:val="clear"/>
          </w:tcPr>
          <w:p>
            <w:pPr>
              <w:pStyle w:val="Standardn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PID OŠ A.4.3.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objašnjava organiziranost Republike Hrvatske i njezina nacionalna obilježja.</w:t>
            </w:r>
          </w:p>
        </w:tc>
        <w:tc>
          <w:tcPr>
            <w:tcW w:w="6963" w:type="dxa"/>
            <w:gridSpan w:val="3"/>
            <w:tcBorders/>
            <w:shd w:color="auto" w:fill="B8CCE4" w:themeFill="accent1" w:themeFillTint="66" w:val="clear"/>
          </w:tcPr>
          <w:p>
            <w:pPr>
              <w:pStyle w:val="Standardno"/>
              <w:widowControl/>
              <w:shd w:val="clear" w:color="auto" w:fill="B8CCE4" w:themeFill="accent1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B8CCE4" w:val="clear"/>
                <w:lang w:bidi="ar-SA"/>
              </w:rPr>
              <w:t>Opisuje organiziranost Republike Hrvatske (predsjednik Republike Hrvatske, Vlada Republike Hrvatske, Hrvatski sabor) i istražuje njezine nacionalne simbole.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Čita geografsku kartu Republike Hrvatske s pomoću tumača znakova, pokazuje na njemu reljef ne oblike, mjesta, državne granice, navodi susjedne zemlje i sl.</w:t>
            </w:r>
          </w:p>
        </w:tc>
        <w:tc>
          <w:tcPr>
            <w:tcW w:w="4740" w:type="dxa"/>
            <w:gridSpan w:val="2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Na geografskoj karti Republike Hrvatske – reljefni oblici, tumač znakova, državne granice, države s kojima Republika Hrvatska graniči, nacionalni simboli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objašnjava organiziranost Republike Hrvatske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(predsjednik Republike Hrvatske, Vlada Republike Hrvatske, Hrvatski sabor)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 i samostalno istražuje njezina nacionalna obilježja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none" w:color="000000"/>
              </w:rPr>
              <w:t>- samostalno na geografskoj karti Republike Hrvatske</w:t>
            </w:r>
            <w:r>
              <w:rPr>
                <w:rFonts w:cs="Arial" w:ascii="Arial" w:hAnsi="Arial"/>
                <w:color w:val="231F20"/>
                <w:u w:val="none" w:color="231F20"/>
              </w:rPr>
              <w:t>, s pomoću tumača znakova, pokazuje na njemu reljef ne oblike, mjesta, državne granice, navodi susjedne zemlje</w:t>
            </w:r>
          </w:p>
        </w:tc>
        <w:tc>
          <w:tcPr>
            <w:tcW w:w="2460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objašnjava organiziranost Republike Hrvatske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(predsjednik Republike Hrvatske, Vlada Republike Hrvatske, Hrvatski sabor)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 i samostalno istražuje njezina nacionalna obilježja uz manje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na geografskoj karti Republike Hrvatske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, s pomoću tumača znakova, točno pokazuje reljefne oblike, mjesta, državne granice, navodi susjedne zemlje uz manje greške</w:t>
            </w:r>
          </w:p>
        </w:tc>
        <w:tc>
          <w:tcPr>
            <w:tcW w:w="2078" w:type="dxa"/>
            <w:tcBorders/>
            <w:shd w:color="auto" w:fill="B8CCE4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objašnjava organiziranost Republike Hrvatske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(predsjednik Republike Hrvatske, Vlada Republike Hrvatske, Hrvatski sabor)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 i nabraja njezina nacionalna obilježja uz veće greške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uz pomoć učitelja na geografskoj karti Republike Hrvatske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, s pomoću tumača znakova, pokazuje reljefne oblike, mjesta, državne granice, navodi susjedne zemlje uz veće greške</w:t>
            </w:r>
          </w:p>
        </w:tc>
        <w:tc>
          <w:tcPr>
            <w:tcW w:w="2447" w:type="dxa"/>
            <w:tcBorders/>
            <w:shd w:color="auto" w:fill="B8CCE4" w:themeFill="accent1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prepoznaje organiziranost Republike Hrvatske i njezina nacionalna obilježja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B8CCE4" w:themeFill="accent1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ne prepoznaje organiziranost Republike Hrvatske i njezina nacionalna obilježja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b/>
          <w:bCs/>
          <w:color w:val="FF0000"/>
          <w:u w:val="none" w:color="000000"/>
        </w:rPr>
        <w:t>PROMJENE I ODNOSI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PID OŠ B.4.1.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vrednuje važnost odgovornoga odnosa prema sebi, drugima i prirodi.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svoj rast i razvoj i uočava promjene na sebi.</w:t>
            </w:r>
          </w:p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Odgovorno se ponaša prema sebi, drugima, svome zdravlju i zdravlju drugih.</w:t>
            </w:r>
          </w:p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Zna komu se i kako obratiti ako je zabrinut zbog neprimjerenih sadržaja ili ponašanja u digitalnome okružju. Objašnjava primjereno postupanje prema javnoj i privatnoj imovini.</w:t>
            </w:r>
          </w:p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Odgovorno se ponaša prema biljkama i životinjama u okolišu.</w:t>
            </w:r>
          </w:p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važnost odgovornoga odnosa prema prirodi radi zaštite živoga svijeta.</w:t>
            </w:r>
          </w:p>
          <w:p>
            <w:pPr>
              <w:pStyle w:val="Normal"/>
              <w:widowControl/>
              <w:shd w:val="clear" w:color="auto" w:fill="FBD4B4" w:themeFill="accent6" w:themeFillTint="66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Procjenjuje utjecaj čovjeka na biljke i životinje te njegovu ulogu u očuvanju ugroženih i zaštićenih vrsta.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Osobni rast i razvoj, promjene u pubertetu, briga za ljudsko zdravlje, prevencije nasilja, podrška osobama s invaliditetom,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učestale bolesti učenika , osnovne mjere zaštite,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ugrožavajuće situacije i ponašanja koja ne treba trpjeti, različiti oblici  zlostavljanja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uočava i objašnjava osobni rast i razvoj i promjene u pubertetu – - objašnjava važnost prevencije nasilja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u w:val="none" w:color="000000"/>
              </w:rPr>
              <w:t>- objašnjava razliku učestale bolesti učenika (npr. akutne bolesti,zarazne bolesti, nametnike kao uzročnike bolesti) i osnovne mjere zaštite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>- uočava ugrožavajuće situacije i ponašanja koja ne treba trpjeti (različiti oblici zlostavljanja) i svjesno,  aktivno sudjeluje u njihovu sprečavanju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u w:val="none" w:color="000000"/>
              </w:rPr>
              <w:t>- vrednuje važnost i načine odgovornoga te predviđa posljedice neodgovornoga odnosa prema sebi, drugima i prirodi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odgovorno se ponaša prema sebi, drugima, svome zdravlju i zdravlju drugih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none" w:color="000000"/>
              </w:rPr>
              <w:t xml:space="preserve">- </w:t>
            </w:r>
            <w:r>
              <w:rPr>
                <w:rFonts w:cs="Arial" w:ascii="Arial" w:hAnsi="Arial"/>
                <w:color w:val="231F20"/>
                <w:u w:val="none" w:color="231F20"/>
              </w:rPr>
              <w:t>odgovorno se ponaša prema biljkama i životinjama u okolišu</w:t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 </w:t>
            </w: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objašnjava osobni rast i razvoj i promjene u pubertetu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objašnjava važnost prevencije nasilja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objašnjava razliku učestale bolesti učenika (npr. akutne bolesti,zarazne bolesti, nametnike kao uzročnike bolesti) i osnovne mjere zaštite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uočava ugrožavajuće situacije i ponašanja koja ne treba trpjeti (različiti oblici zlostavljanja)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obrazlaže načine odgovornoga i predviđa posljedice neodgovornoga odnosa prema sebi, drugima i prirodi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odgovorno se ponaša prema sebi, drugima, svome zdravlju i zdravlju drugih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odgovorno se ponaša prema biljkama i životinjama u okolišu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opisuje osobni rast i razvoj i promjene u pubertetu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prepoznaje važnost prevencije nasilja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opisuje  razliku učestale bolesti učenika (npr. akutne bolesti,zarazne bolesti, nametnike kao uzročnike bolesti) i osnovne mjere zaštite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nabraja ugrožavajuće situacije i ponašanja koja ne treba trpjeti (različiti oblici zlostavljanja)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predlaže načine odgovornoga i predviđa posljedice neodgovornoga odnosa prema sebi, drugima i prirodi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uglavnom se odgovorno ponaša prema sebi, drugima, svome zdravlju i zdravlju drugih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uglavnom se odgovorno ponaša prema biljkama i životinjama u okolišu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uz pomoć učitelja opisuje osobni rast i razvoj i promjene u pubertetu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zu pomoć učitelja nabraja ugrožavajuće situacije i ponašanja koja ne treba trpjeti (različiti oblici zlostavljanja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uz pomoć učitelja opisuje načine odgovornoga i predviđa posljedice neodgovornoga odnosa prema sebi, drugima i prirodi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uz upućivanje se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odgovorno ponaša prema sebi, drugima, svome zdravlju i zdravlju drugih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uz upućivanje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se odgovorno ponaša prema biljkama i životinjama u okolišu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nabraja promjene u pubertetu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ne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opisuje načine odgovornoga i ne predviđa posljedice neodgovornoga odnosa prema sebi, drugima i prirodi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ne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ponaša se odgovorno  prema sebi, drugima, svome zdravlju i zdravlju drugih, prema biljkama i životinjama u okolišu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553"/>
        <w:gridCol w:w="2332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PID OŠ B.4.2.</w:t>
            </w:r>
          </w:p>
          <w:p>
            <w:pPr>
              <w:pStyle w:val="Normal"/>
              <w:widowControl/>
              <w:shd w:val="clear" w:color="auto" w:fill="FBD4B4" w:themeFill="accent6" w:themeFillTint="66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analizira i povezuje životne uvjete i raznolikost živih bića na različitim staništima te opisuje cikluse u prirodi.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Istražuje životne uvjete (zrak, tlo, voda, svjetlost, toplina).</w:t>
            </w:r>
          </w:p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na primjerima utjecaj životnih uvjeta na organizme.</w:t>
            </w:r>
          </w:p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životne cikluse u prirodi (na primjeru biljke cvjetnjače) i kruženje vode u prirodi.</w:t>
            </w:r>
          </w:p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životnu zajednicu (organizme koji žive na istome staništu) na primjeru iz neposrednoga okoliša i uspoređuje sa zajednicom iz drugoga područja.</w:t>
            </w:r>
          </w:p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Povezuje različitost vremenskih uvjeta s raznolikošću biljnoga i životinjskoga svijeta.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Na primjerima opisuje prilagodbe biljaka i životinja na različite uvjete života.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Uzgoj jedne biljke, npr. pšenice ili graha i djelovanje životnih uvjeta,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oprašivanje biljke ,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hranidbeni odnosi unutar životne zajednice,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različite životne zajednice(šuma, travnjak,livada…)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5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33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5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samostalno i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stražuje životne uvjete (zrak, tlo, voda, svjetlost, toplina) na primjeru uzgoja jedne biljke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samostalno iznosi  primjere prilagodbe biljaka i životinja na različite uvjete života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>- analizira utjecaj životnih uvjeta na životne zajednice u zavičaju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>- samostalno  povezuje različitost vremenskih i drugih životnih uvjeta na različitim staništima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 xml:space="preserve"> </w:t>
            </w:r>
            <w:r>
              <w:rPr>
                <w:rFonts w:cs="Arial" w:ascii="Arial" w:hAnsi="Arial"/>
                <w:u w:val="none" w:color="000000"/>
              </w:rPr>
              <w:t>- samostalno prikazuje i opisuje cikluse u prirodi (kruženje vode u prirodi, rast biljke cvjetnjače)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u w:val="none" w:color="000000"/>
              </w:rPr>
              <w:t>- samostalno istražuje i objašnjava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none" w:color="000000"/>
              </w:rPr>
              <w:t>hranidbene odnose unutar životne zajednice</w:t>
            </w:r>
          </w:p>
        </w:tc>
        <w:tc>
          <w:tcPr>
            <w:tcW w:w="233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i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stražuje životne uvjete (zrak, tlo, voda, svjetlost, toplina) na primjeru uzgoja jedne biljke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na primjerima opisuje prilagodbe biljaka i životinja na različite uvjete života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objašnjava utjecaj životnih uvjeta na životne zajednice u zavičaju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uspoređuje raznolikost životnih zajednica, vremenskih i drugih životnih uvjeta na različitim staništima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prikazuje cikluse u prirodi (kruženje vode u prirodi, rast biljke cvjetnjače)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 </w:t>
            </w: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objašnjava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hranidbene odnose unutar životne zajednice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opisuje životne uvjete i njihov utjecaj na životne zajednice u zavičaju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 opisuje prilagodbe biljaka i životinja na različite uvjete života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-opisuje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hranidbene odnose unutar životne zajednice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navodi životne uvjete - uz pomoć učitelja opisuje utjecaj životnih uvjeta na životne zajednice u zavičaju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 xml:space="preserve">– </w:t>
            </w: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uz pomoć učitelja opisuje cikluse u prirodi (kruženje vode u prirodi, rast biljke cvjetnjače)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uz pomoć učitelja navodi jedan hranidbeni lanac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ne navodi životne uvjete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ne opisuje utjecaj životnih uvjeta na životne zajednice u zavičaju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ne opisuje cikluse u prirodi (kruženje vode u prirodi, rast biljke cvjetnjače)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navodi jedan hranidbeni lanac</w:t>
            </w:r>
          </w:p>
        </w:tc>
      </w:tr>
    </w:tbl>
    <w:p>
      <w:pPr>
        <w:pStyle w:val="Normal"/>
        <w:rPr>
          <w:rFonts w:ascii="Calibri" w:hAnsi="Calibri"/>
          <w:b/>
          <w:b/>
          <w:bCs/>
          <w:color w:val="FF0000"/>
          <w:u w:val="none" w:color="000000"/>
        </w:rPr>
      </w:pPr>
      <w:r>
        <w:rPr>
          <w:b/>
          <w:bCs/>
          <w:color w:val="FF0000"/>
          <w:u w:val="none" w:color="000000"/>
        </w:rPr>
      </w:r>
    </w:p>
    <w:p>
      <w:pPr>
        <w:pStyle w:val="Normal"/>
        <w:rPr>
          <w:rFonts w:ascii="Calibri" w:hAnsi="Calibri"/>
          <w:b/>
          <w:b/>
          <w:bCs/>
          <w:color w:val="FF0000"/>
          <w:u w:val="none" w:color="000000"/>
        </w:rPr>
      </w:pPr>
      <w:r>
        <w:rPr>
          <w:b/>
          <w:bCs/>
          <w:color w:val="FF0000"/>
          <w:u w:val="none" w:color="00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b/>
          <w:bCs/>
          <w:color w:val="FF0000"/>
          <w:u w:val="none" w:color="000000"/>
        </w:rPr>
        <w:t>POJEDINAC I DRUŠTVO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PID OŠ C.4.1.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obrazlaže ulogu, utjecaj i važnost povijesnoga nasljeđa te prirodnih i društvenih različitosti domovine na razvoj nacionalnoga identiteta.</w:t>
            </w:r>
          </w:p>
        </w:tc>
        <w:tc>
          <w:tcPr>
            <w:tcW w:w="6963" w:type="dxa"/>
            <w:gridSpan w:val="3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Objašnjava ulogu nacionalnih simbola/obilježja.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Raspravlja o svojoj ulozi i povezanosti s domovinom prema događajima, interesima, vrijednostima.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Istražuje prirodnu i društvenu raznolikost, posebnost i prepoznatljivost domovine koristeći se različitim izvorima. Objašnjava povezanost baštine s identitetom domovine te ulogu baštine za razvoj i očuvanje nacionalnoga identiteta.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Objašnjava na primjerima načine zaštite i očuvanja prirodne, kulturne i povijesne baštine domovine.</w:t>
            </w:r>
          </w:p>
        </w:tc>
        <w:tc>
          <w:tcPr>
            <w:tcW w:w="4740" w:type="dxa"/>
            <w:gridSpan w:val="2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Nacionalni simboli: grb, zastava, himna, novac, tradicija, običaji, parkovi prirode i nacionalni parkovi, kulturno-povijesne znamenitosti, posebnosti parkova prirode, nacionalnih parkova (zaštićena područja) i kulturno-povijesnih znamenitosti.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Obilježavanje državnih praznika, blagdana, značajnih dana i događaja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lang w:bidi="ar-SA"/>
              </w:rPr>
            </w:r>
          </w:p>
        </w:tc>
        <w:tc>
          <w:tcPr>
            <w:tcW w:w="2425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shd w:fill="D6E3BC" w:val="clear"/>
                <w:lang w:bidi="ar-SA"/>
              </w:rPr>
              <w:t>- o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D6E3BC" w:val="clear"/>
                <w:lang w:bidi="ar-SA"/>
              </w:rPr>
              <w:t>bjašnjava ulogu nacionalnih simbola/obilježja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raspravlja o svojoj ulozi i povezanosti s domovinom prema događajima, interesima, vrijednostima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>- obrazlaže ulogu, utjecaj i važnost povijesnoga nasljeđa te prirodnih i društvenih različitosti domovine na razvoj nacionalnoga identiteta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o</w:t>
            </w:r>
            <w:r>
              <w:rPr>
                <w:rFonts w:cs="Arial" w:ascii="Arial" w:hAnsi="Arial"/>
                <w:color w:val="231F20"/>
                <w:u w:val="none" w:color="231F20"/>
              </w:rPr>
              <w:t>bjašnjava na primjerima načine zaštite i očuvanja prirodne, kulturne i povijesne baštine domovine</w:t>
            </w:r>
          </w:p>
        </w:tc>
        <w:tc>
          <w:tcPr>
            <w:tcW w:w="246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raspravlja o ulozi, utjecaju i važnosti povijesnoga nasljeđa te prirodnih i društvenih različitosti domovine na razvoj nacionalnoga identiteta</w:t>
            </w:r>
          </w:p>
        </w:tc>
        <w:tc>
          <w:tcPr>
            <w:tcW w:w="207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p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ovezuje ulogu, utjecaj i važnost povijesnoga nasljeđa te prirodnih i društvenih različitosti domovine na razvoj nacionalnoga identiteta</w:t>
            </w:r>
          </w:p>
        </w:tc>
        <w:tc>
          <w:tcPr>
            <w:tcW w:w="2447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uz pomoć učitelja opisuje ulogu, utjecaj i važnost povijesnoga nasljeđa te prirodnih i društvenih različitosti domovine na razvoj nacionalnoga identiteta</w:t>
            </w:r>
          </w:p>
        </w:tc>
        <w:tc>
          <w:tcPr>
            <w:tcW w:w="229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opisuje ulogu, utjecaj i važnost povijesnoga nasljeđa te prirodnih i društvenih različitosti domovine na razvoj nacionalnoga identitet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u w:val="none" w:color="000000"/>
                <w:lang w:bidi="ar-SA"/>
              </w:rPr>
              <w:t>PID OŠ C.4.2.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Učenik zaključuje o utjecaju prava i dužnosti na pojedinca i zajednicu te o važnosti slobode za pojedinca i društvo.</w:t>
            </w:r>
          </w:p>
        </w:tc>
        <w:tc>
          <w:tcPr>
            <w:tcW w:w="6963" w:type="dxa"/>
            <w:gridSpan w:val="3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Istražuje odnose i ravnotežu između prava i dužnosti, uzroke i posljedice postupaka.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Raspravlja o važnosti jednakosti prava i slobode svakoga pojedinca uz poštivanje tuđih sloboda.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Pokazuje solidarnost prema članovima zajednice.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Raspravlja o pravima djece.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Raspravlja o (ne)poštivanju ljudskih prava i prava djece.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Uvažava različitosti i razvija osjećaj tolerancije.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Predlaže načine rješavanja i sprečavanja nastanka problema.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Odgovorno se ponaša prema zdravlju, okolišu i u primjeni IKT-a.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Raspravlja o važnosti digitalnoga identiteta i utjecaja digitalnih tragova.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Štiti svoje osobne podatke te poštuje tuđe vlasništvo i privatnost.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Promišlja o prisutnosti demokratskih vrijednosti u zajednicama kojih je dio te promiče demokratske vrijednosti u svome okružju.</w:t>
            </w:r>
          </w:p>
        </w:tc>
        <w:tc>
          <w:tcPr>
            <w:tcW w:w="4740" w:type="dxa"/>
            <w:gridSpan w:val="2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Radionice i projekti o pravima i dužnostima pojedinca i zajednice.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Pravila uporabe digitalnih sadržaja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lang w:bidi="ar-SA"/>
              </w:rPr>
            </w:r>
          </w:p>
        </w:tc>
        <w:tc>
          <w:tcPr>
            <w:tcW w:w="2425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r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aspravlja o važnosti jednakosti prava i slobode svakoga pojedinca uz poštivanje tuđih sloboda</w:t>
            </w:r>
          </w:p>
          <w:p>
            <w:pPr>
              <w:pStyle w:val="Standardno"/>
              <w:widowControl w:val="false"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>- pokazuje solidarnost prema članovima zajednice</w:t>
            </w:r>
          </w:p>
          <w:p>
            <w:pPr>
              <w:pStyle w:val="Standardno"/>
              <w:widowControl w:val="false"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>- raspravlja o pravima djece.</w:t>
            </w:r>
          </w:p>
          <w:p>
            <w:pPr>
              <w:pStyle w:val="Standardno"/>
              <w:widowControl w:val="false"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>- raspravlja o (ne)poštivanju ljudskih prava i prava djece</w:t>
            </w:r>
          </w:p>
          <w:p>
            <w:pPr>
              <w:pStyle w:val="Standardno"/>
              <w:widowControl w:val="false"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>- uvažava različitosti i razvija osjećaj tolerancije</w:t>
            </w:r>
          </w:p>
          <w:p>
            <w:pPr>
              <w:pStyle w:val="Standardno"/>
              <w:widowControl w:val="false"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>- samostalno predlaže načine rješavanja i sprečavanja nastanka problema</w:t>
            </w:r>
          </w:p>
          <w:p>
            <w:pPr>
              <w:pStyle w:val="Standardno"/>
              <w:widowControl w:val="false"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>- odgovorno se ponaša prema zdravlju, okolišu i u primjeni IKT-a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none" w:color="000000"/>
              </w:rPr>
              <w:t>- zaključuje o uzročno-posljedičnim vezama nepoštivanja pravila i dužnosti te važnosti slobode pojedinca i društva</w:t>
            </w:r>
          </w:p>
        </w:tc>
        <w:tc>
          <w:tcPr>
            <w:tcW w:w="2460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objašnjava uzročno-posljedične veze nepoštivanja pravila i dužnosti te važnost slobode pojedinca i društva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 </w:t>
            </w: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 xml:space="preserve">objašnjava 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 važnost jednakosti prava i slobode svakoga pojedinca uz poštivanje tuđih sloboda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 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predlaže načine rješavanja i sprečavanja nastanka problema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 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odgovorno se ponaša prema zdravlju, okolišu i u primjeni IKT-a</w:t>
            </w:r>
          </w:p>
        </w:tc>
        <w:tc>
          <w:tcPr>
            <w:tcW w:w="207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uzročno-posljedične veze nepoštivanja pravila te važnost slobode pojedinca i društva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uz pomoć učitelja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predlaže načine rješavanja i sprečavanja nastanka problema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djelomično odgovorno se ponaša prema zdravlju, okolišu i u primjeni IKT-a</w:t>
            </w:r>
          </w:p>
        </w:tc>
        <w:tc>
          <w:tcPr>
            <w:tcW w:w="2447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uz pomoć učitelja navodi uzročno-posljedične veze nepoštivanja pravila i dužnosti te važnost slobode pojedinca i društva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uz poticaj učitelja djelomično odgovorno se ponaša prema zdravlju, okolišu i u primjeni IKT-a</w:t>
            </w:r>
          </w:p>
        </w:tc>
        <w:tc>
          <w:tcPr>
            <w:tcW w:w="229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navodi uzročno-posljedične veze nepoštivanja pravila i dužnosti te važnost slobode pojedinca i društva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PID OŠ </w:t>
            </w: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val="it-IT" w:bidi="ar-SA"/>
              </w:rPr>
              <w:t>C.4.3.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objašnjava povezanost prirodnoga i društvenoga okružja s gospodarstvom Republike Hrvatske.</w:t>
            </w:r>
          </w:p>
        </w:tc>
        <w:tc>
          <w:tcPr>
            <w:tcW w:w="6963" w:type="dxa"/>
            <w:gridSpan w:val="3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povezanost prirodnoga i društvenoga okružja s gospodarskim djelatnostima u Republici Hrvatskoj. Objašnjava ulogu i utjecaj prirodnoga i društvenoga okružja na gospodarstvo Republike Hrvatske.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Prepoznaje važnost različitih zanimanja i djelatnosti i njihov utjecaj na gospodarstvo Republike Hrvatske. Objašnjava važnost poduzetnosti i inovativnosti za razvoj zajednice (i pojedinca) i uključuje se u aktivnosti koje ih promiču.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Objašnjava i navodi primjere važnosti i vrijednosti rada za razvoj pojedinca i zajednice.</w:t>
            </w:r>
          </w:p>
          <w:p>
            <w:pPr>
              <w:pStyle w:val="Standardno"/>
              <w:widowControl/>
              <w:shd w:val="clear" w:color="auto" w:fill="D6E3BC" w:themeFill="accent3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Predlaže načine poboljšanja kvalitete života u zajednici</w:t>
            </w:r>
          </w:p>
        </w:tc>
        <w:tc>
          <w:tcPr>
            <w:tcW w:w="4740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Gospodarstvo Republike Hrvatske osposobljavamo za buduća zanimanja? Hoće li zanimanja ljudi biti jednaka u budućnosti kao i danas? Kako ću ja jednoga dana doprinijeti gospodarstvu? Vidim li svoju ulogu u razvoju svoga mjesta/zavičaja? Učenik se uključuje u rad vijeća učenika preko predstavnika razreda.</w:t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963" w:type="dxa"/>
            <w:gridSpan w:val="3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.</w:t>
            </w:r>
          </w:p>
        </w:tc>
        <w:tc>
          <w:tcPr>
            <w:tcW w:w="4740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</w:r>
          </w:p>
        </w:tc>
        <w:tc>
          <w:tcPr>
            <w:tcW w:w="2425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objašnjava povezanost prirodnoga i društvenoga okružja s gospodarstvom Republike Hrvatske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sz w:val="22"/>
                <w:szCs w:val="22"/>
                <w:u w:val="none" w:color="000000"/>
              </w:rPr>
              <w:t>- samostalnim istraživanjem uočava važnost poduzetnosti i inovativnosti kao i vrijednosti rada predlažući aktivnosti koje ih promiču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-samostalno predlaže načine </w:t>
            </w: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>poboljšanja kvalitete života u zajednici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opisuje povezanost prirodnoga i društvenoga okružja s gospodarstvom Republike Hrvatske – uočava važnost poduzetnosti i inovativnosti za razvoj zajednice i pojedinca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 predlaže načine 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poboljšanja kvalitete života u zajednici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078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povezuje prirodno i društveno okružje s gospodarskim djelatnostima u Republici Hrvatskoj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 predlaže način 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poboljšanja kvalitete života u zajednici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47" w:type="dxa"/>
            <w:tcBorders/>
            <w:shd w:color="auto" w:fill="D6E3BC" w:themeFill="accent3" w:themeFillTint="66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uz pomoć učitelja povezuje prirodno i društveno okružje s gospodarskim djelatnostima u Republici Hrvatskoj - navodi primjere odgovornog odnosa prema radu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povezuje prirodno i društveno okružje s gospodarskim djelatnostima u Republici Hrvatskoj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b/>
          <w:bCs/>
          <w:color w:val="FF0000"/>
          <w:u w:val="none" w:color="000000"/>
        </w:rPr>
        <w:t>ENERGIJA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PID OŠ D.4.1.</w:t>
            </w:r>
          </w:p>
          <w:p>
            <w:pPr>
              <w:pStyle w:val="Normal"/>
              <w:widowControl/>
              <w:shd w:val="clear" w:color="auto" w:fill="DBE5F1" w:themeFill="accent1" w:themeFillTint="33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opisuje prijenos, pretvorbu i povezanost energije u životnim ciklusima i ciklusima tvari u prirodi.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na primjeru načine prijenosa, pretvorbe i povezanost energije u procesima rasta i razvoja živoga bića, u hranidbenim odnosima i kruženju vode u prirodi.</w:t>
            </w:r>
          </w:p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načine primjene energije koju hranom unosimo u svoj organizam.</w:t>
            </w:r>
          </w:p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da se zelene biljke koriste Sunčevom energijom pri čemu proizvode hranu i kisik.</w:t>
            </w:r>
          </w:p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Navodi primjere hranidbenih odnosa organizama iz neposrednoga okoliša.</w:t>
            </w:r>
          </w:p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Opisuje utjecaj različitih načina primjene energije na okoliš (primjeri zagađenja okoliša).</w:t>
            </w:r>
          </w:p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Prepoznaje povezanost energije s promjenama stanja tvari i procesima.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Opisuje utjecaj energije na život i rad ljudi i društva te istražuje kako se nekad živjelo s obzirom na izvore energije i povezuje to s važnim izumima tijekom povijesti.</w:t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Prijenos, pretvorba i povezanost energije u procesima rasta i razvoja živoga bića, u hranidbenim odnosima i kruženju vode u prirodi.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Upotreba energije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Pohranjivanja energije: baterija, gomolj biljke, potkožno masno tkivo…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DBE5F1" w:themeFill="accent1" w:themeFillTint="33"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hd w:val="clear" w:color="auto" w:fill="DBE5F1" w:themeFill="accent1" w:themeFillTint="33"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samostalno objašnjava prijenos i pretvorbu energije</w:t>
            </w:r>
          </w:p>
          <w:p>
            <w:pPr>
              <w:pStyle w:val="Standardno"/>
              <w:widowControl w:val="false"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u w:val="none" w:color="000000"/>
              </w:rPr>
              <w:t xml:space="preserve">- </w:t>
            </w:r>
            <w:r>
              <w:rPr>
                <w:rFonts w:cs="Arial" w:ascii="Arial" w:hAnsi="Arial"/>
                <w:color w:val="231F20"/>
                <w:sz w:val="22"/>
                <w:szCs w:val="22"/>
                <w:u w:val="none" w:color="231F20"/>
              </w:rPr>
              <w:t>objašnjava načine primjene energije koju hranom unosimo u svoj organizam.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objašnjava da se zelene biljke koriste Sunčevom energijom pri čemu proizvode hranu i kisik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 xml:space="preserve"> </w:t>
            </w:r>
            <w:r>
              <w:rPr>
                <w:rFonts w:cs="Arial" w:ascii="Arial" w:hAnsi="Arial"/>
                <w:u w:val="none" w:color="000000"/>
              </w:rPr>
              <w:t>- navodi primjere povezanosti energije u procesima rasta i razvoja živih bića, u hranidbenim odnosima i kruženju vode u prirodi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</w:rPr>
              <w:t>- o</w:t>
            </w:r>
            <w:r>
              <w:rPr>
                <w:rFonts w:cs="Arial" w:ascii="Arial" w:hAnsi="Arial"/>
                <w:color w:val="231F20"/>
                <w:u w:val="none" w:color="231F20"/>
              </w:rPr>
              <w:t>pisuje utjecaj energije na život i rad ljudi i društva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samostalno istražuje o važnim izumima tijekom povijesti</w:t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objašnjava prijenos i pretvorbu energije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 xml:space="preserve"> uočava da se zelene biljke koriste Sunčevom energijom pri čemu proizvode hranu i kisik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navodi primjere povezanosti energije u procesima rasta i razvoja živih bića, u hranidbenim odnosima i kruženju vode u prirodi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o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pisuje utjecaj energije na život i rad ljudi i društva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-navodi primjer prijenosa, pretvorbe i povezanosti energije u procesima rasta i razvoja živih bića, u hranidbenim odnosima i kruženju vode u prirodi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uz pomoć učitelja  navodi primjer prijenosa, pretvorbe i povezanosti energije u  procesima rasta i razvoja živih bića, u hranidbenim odnosima i kruženju vode u prirodi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navodi primjer prijenosa, pretvorbe i povezanosti energije u  procesima rasta i razvoja živih bića, u hranidbenim odnosima i kruženju vode u prirodi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ISTRAŽIVAČKI PRISTUP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ABF8F" w:themeFill="accent6" w:themeFillTint="99" w:val="clear"/>
          </w:tcPr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PID OŠ </w:t>
            </w: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val="it-IT" w:bidi="ar-SA"/>
              </w:rPr>
              <w:t>A.B.C.D.4.1.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uz usmjeravanje objašnjava rezultate vlastitih istraživanja prirode, prirodnih i/ili društvenih pojava i/ili različitih izvora informacija.</w:t>
            </w:r>
          </w:p>
        </w:tc>
        <w:tc>
          <w:tcPr>
            <w:tcW w:w="6963" w:type="dxa"/>
            <w:gridSpan w:val="3"/>
            <w:tcBorders/>
            <w:shd w:color="auto" w:fill="FABF8F" w:themeFill="accent6" w:themeFillTint="99" w:val="clear"/>
          </w:tcPr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Promatra i opisuje.</w:t>
            </w:r>
          </w:p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Postavlja pitanja.</w:t>
            </w:r>
          </w:p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Postavlja pretpostavke o očekivanim rezultatima.</w:t>
            </w:r>
          </w:p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Planira istraživanje (na koji način doći do odgovora).</w:t>
            </w:r>
          </w:p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Provodi jednostavna istraživanja i prikuplja podatke.</w:t>
            </w:r>
          </w:p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Mjeri i očitava.</w:t>
            </w:r>
          </w:p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Prikazuje i analizira podatke.</w:t>
            </w:r>
          </w:p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Zaključuje.</w:t>
            </w:r>
          </w:p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Provjerava i uočava pogreške.</w:t>
            </w:r>
          </w:p>
          <w:p>
            <w:pPr>
              <w:pStyle w:val="Standardno"/>
              <w:widowControl/>
              <w:shd w:val="clear" w:color="auto" w:fill="FABF8F" w:themeFill="accent6" w:themeFillTint="9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Uočava novi problem.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Slijedi etape istraživačkog pristupa.</w:t>
            </w:r>
          </w:p>
        </w:tc>
        <w:tc>
          <w:tcPr>
            <w:tcW w:w="4740" w:type="dxa"/>
            <w:gridSpan w:val="2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Ostvaruje se svim sadržajima.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lang w:bidi="ar-SA"/>
              </w:rPr>
            </w:r>
          </w:p>
        </w:tc>
        <w:tc>
          <w:tcPr>
            <w:tcW w:w="2425" w:type="dxa"/>
            <w:tcBorders/>
            <w:shd w:color="auto" w:fill="FABF8F" w:themeFill="accent6" w:themeFillTint="99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samostalno p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rovodi jednostavna istraživanja slijedeći etape istraživanja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sz w:val="22"/>
                <w:szCs w:val="22"/>
                <w:u w:val="none" w:color="000000"/>
              </w:rPr>
              <w:t>- oblikuje pitanja, koristi se opremom, mjeri, bilježi, samostalno zaključuje, objašnjava i uspoređuje svoje rezultate istraživanja s drugima i na osnovi toga procjenjuje vlastiti rad te predstavlja rezultate</w:t>
            </w:r>
          </w:p>
          <w:p>
            <w:pPr>
              <w:pStyle w:val="Standardn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uočava moguće pogreške i ispravlja ih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FABF8F" w:themeFill="accent6" w:themeFillTint="99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p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rovodi jednostavna istraživanja slijedeći etape istraživanja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oblikuje pitanja, koristi se opremom, mjeri, bilježi, zaključuje, objašnjava i uspoređuje svoje rezultate istraživanja s drugima i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procjenjuje vlastiti rad te predstavlja rezultate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078" w:type="dxa"/>
            <w:tcBorders/>
            <w:shd w:color="auto" w:fill="FABF8F" w:themeFill="accent6" w:themeFillTint="99" w:val="clear"/>
          </w:tcPr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u w:val="none" w:color="00000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p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rovodi jednostavno istraživanje zu pomoć učitelja</w:t>
            </w:r>
          </w:p>
          <w:p>
            <w:pPr>
              <w:pStyle w:val="Standardn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u w:val="none" w:color="000000"/>
                <w:lang w:bidi="ar-SA"/>
              </w:rPr>
              <w:t>- uz pomoć  učitelja postavlja pitanja povezana s opaženim promjenama, koristi se opremom, mjeri, bilježi i opisuje rezultate te ih predstavlja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47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u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z pomoć učitelja postavlja pitanje povezano s opaženim promjenama, bilježi rezultat</w:t>
            </w:r>
          </w:p>
        </w:tc>
        <w:tc>
          <w:tcPr>
            <w:tcW w:w="2293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planira i ne provodi istraživanje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  <w:t>MJERILA VREDNOVANJA PREMA ISHODIMA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  <w:t>TJELESNA I ZDRAVSTVENA KULTURA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b/>
          <w:bCs/>
          <w:color w:val="FF0000"/>
          <w:u w:val="none" w:color="000000"/>
        </w:rPr>
        <w:t>KINEZIOLOŠKA TEORIJSKA I MOTORIČKA ZNANJA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ascii="Calibri" w:hAnsi="Calibri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TZK A.4.1.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Oponaša osnovne strukture gibanja raznovrsnih grupacija sportova.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Primjenjuje osnovne strukture gibanja raznovrsnih grupacija sportova.</w:t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u w:val="none" w:color="000000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Osnovne strukture gibanja koje odgovaraju raznovrsnim grupacijama sportova (temeljni sportovi, sportske igre, konvencionalno-estetski, borilački sportovi…).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eastAsia="Calibri" w:cs="Arial"/>
                <w:color w:val="FF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Košarkaški dvokorak, Ubacivanje lopte u koš, Mini rukomet, Slobodna igra (R), Dječji nogomet, Odbojkaški stav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/>
                <w:u w:val="none" w:color="000000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samostalno i pravilno primjenjuje osnovne strukture gibanja raznovrsnih grupacija sportova (temeljni sportovi, sportske igre, borilački sportovi- k</w:t>
            </w:r>
            <w:r>
              <w:rPr>
                <w:rFonts w:eastAsia="Calibri" w:cs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ošarkaški dvokorak, ubacivanje lopte u koš, mini rukomet, slobodna igra (R), dječji nogomet, odbojkaški stav)</w:t>
            </w:r>
          </w:p>
          <w:p>
            <w:pPr>
              <w:pStyle w:val="Normal"/>
              <w:widowControl w:val="false"/>
              <w:rPr/>
            </w:pPr>
            <w:r>
              <w:rPr/>
              <w:t>- usvaja, usavršava i primjenjuje raznovrsna kineziološka teorijska i motorička znanja i vještine kojima se koristi u kineziološkim aktivnostima, čime se izrazito utječe na aktivno provođenje slobodnog vremena, podizanje ukupne kvalitete življenja i unapređenje zdravlja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/>
              <w:t>- točno i redovito primjenjuje naučene specifične motoričke i kineziterapijske vježbe radi očuvanja sustava za kretanje</w:t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u w:val="none" w:color="000000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primjenjuje osnovne strukture gibanja raznovrsnih grupacija sportova (k</w:t>
            </w:r>
            <w:r>
              <w:rPr>
                <w:rFonts w:eastAsia="Calibri" w:cs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ošarkaški dvokorak, ubacivanje lopte u koš, mini rukomet, slobodna igra (R), dječji nogomet, odbojkaški stav)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raznovrsna kineziološka teorijska i motorička znanja i vještine u provođenju slobodnog vremena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</w:t>
            </w: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primjenjuje naučene specifične motoričke i kineziterapijske vježbe radi očuvanja sustava za kretanje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u w:val="none" w:color="000000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-oponaša osnovne strukture gibanja raznovrsnih grupacija sportova (u k</w:t>
            </w:r>
            <w:r>
              <w:rPr>
                <w:rFonts w:eastAsia="Calibri" w:cs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ošarkaški dvokorak, ubacivanje lopte u koš, mini rukomet, slobodna igra (R), dječji nogomet, odbojkaški stav) u</w:t>
            </w:r>
            <w:r>
              <w:rPr>
                <w:rFonts w:eastAsia="Calibri" w:cs="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z greške u izvođenju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- povremeno primjenjuje naučene specifične motoričke i kineziterapijske vježbe radi očuvanja sustava za kretanje</w:t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u w:val="none" w:color="000000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-uz uputu i  učiteljevo poticanje oponaša osnovne strukture gibanja raznovrsnih grupacija sportova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na poticaj učitelja </w:t>
            </w: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primjenjuje naučene specifične motoričke i kineziterapijske vježbe radi očuvanja sustava za kretanje</w:t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ne oponaša osnovne strukture gibanja raznovrsnih grupacija sportova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>- ne primjenjuje naučene specifične motoričke i kineziterapijske vježbe radi očuvanja sustava za kretanje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TZK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Prepoznaje i izvodi ritmičke i plesne strukture u jednostavnim koreografijama.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Izvodi ritmičke i plesne strukture u jednostavnim koreografijama.</w:t>
            </w:r>
          </w:p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Sudjeluje u osmišljavanju jednostavne koreografije.</w:t>
            </w:r>
          </w:p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Raznovrsne ritmičke strukture (galop strance, dvokorak, trokorak), dječji folklorni i narodni plesovi, suvremeni plesovi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-skladno i koordinirano izvodi ritmičke i plesne strukture (galop strance, dvokorak, trokorak)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none" w:color="000000"/>
              </w:rPr>
              <w:t xml:space="preserve"> </w:t>
            </w:r>
            <w:r>
              <w:rPr>
                <w:rFonts w:cs="Arial" w:ascii="Arial" w:hAnsi="Arial"/>
                <w:u w:val="none" w:color="000000"/>
              </w:rPr>
              <w:t>-sudjeluje u osmišljavanju i izvođenju nove jednostavne plesne koreografije</w:t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skladno izvodi ritmičke i plesne strukture galop strance, dvokorak, trokorak)  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izvodi jednostavne koreografije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Izvodi ritmičke i plesne strukture (galop strance, dvokorak, trokorak)   i jednostavne koreografije uz pomoć učitelja</w:t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prepoznaje i </w:t>
            </w:r>
            <w:r>
              <w:rPr>
                <w:rFonts w:eastAsia="Calibri" w:cs="Arial" w:ascii="Arial" w:hAnsi="Arial"/>
                <w:strike/>
                <w:kern w:val="0"/>
                <w:sz w:val="22"/>
                <w:szCs w:val="22"/>
                <w:u w:val="none" w:color="000000"/>
                <w:lang w:val="hr-HR" w:eastAsia="en-US" w:bidi="ar-SA"/>
              </w:rPr>
              <w:br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izvodi oponašajuć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it-IT" w:eastAsia="en-US" w:bidi="ar-SA"/>
              </w:rPr>
              <w:t>i ritmi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čke i plesne  strukture jednostavnih koreografija uz teškoće u povezivanju u skladnu cjelinu</w:t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</w:t>
            </w:r>
            <w:r>
              <w:rPr>
                <w:rFonts w:eastAsia="Calibri" w:cs="Arial" w:ascii="Arial" w:hAnsi="Arial"/>
                <w:strike/>
                <w:kern w:val="0"/>
                <w:sz w:val="22"/>
                <w:szCs w:val="22"/>
                <w:u w:val="none" w:color="000000"/>
                <w:lang w:val="hr-HR" w:eastAsia="en-US" w:bidi="ar-SA"/>
              </w:rPr>
              <w:br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izvodi o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it-IT" w:eastAsia="en-US" w:bidi="ar-SA"/>
              </w:rPr>
              <w:t>ritmi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čke i plesne  strukture</w:t>
            </w:r>
          </w:p>
        </w:tc>
      </w:tr>
    </w:tbl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eastAsia="Calibri" w:cs="Calibri"/>
          <w:b/>
          <w:b/>
          <w:bCs/>
          <w:color w:val="FF0000"/>
        </w:rPr>
      </w:pPr>
      <w:r>
        <w:rPr>
          <w:b/>
          <w:bCs/>
          <w:color w:val="FF0000"/>
        </w:rPr>
        <w:t>MORFOLOŠKA OBILJEŽJA, MOTORIČKE I FUNKCIONALNE SPOSOBNOSTI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Standardno"/>
              <w:widowControl/>
              <w:shd w:val="clear" w:color="auto" w:fill="F2DBDB" w:themeFill="accen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TZK B.4.1.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Sudjeluje u provjeravanju morfoloških obilježja, motoričkih i funkcionalnih sposobnosti te obilježja pravilnoga tjelesnog držanja.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Prepoznaje morfološke značajke, motoričke i funkcionalne sposobnosti i obilježja pravilnoga tjelesnog držanja.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Provjeravanje morfoloških obilježja, motoričkih i funkcionalnih sposobnosti te obilježja pravilnoga tjelesnog držanja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s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udjeluje u provjeravanju te prati i uspoređuje morfološka obilježja, motoričke sposobnosti,  funkcionalne sposobnosti i pravilnost tjelesnog držanja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-provodi samopraćenje i razumijevanje morfoloških značajki, motoričkih i funkcionalnih sposobnosti i njihovo održavanje na optimalnoj razini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 samostalno prati  antropološka obilježja te vrednuje učinke tjelesnog vježbanja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-s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udjeluje u provjeravanju te prati i uspoređuje morfološka obilježja, motoričke sposobnosti,  funkcionalne sposobnosti i pravilnost tjelesnog držanja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vrednuje učinke tjelesnog vježbanja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usavršava osnovno znanje o provedbi provjeravanja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uz pomoć učitelja s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udjeluje u provjeravanju te uz pomoć prati i uspoređuje morfološka obilježja, motoričke sposobnosti,  funkcionalne sposobnosti i pravilnost tjelesnog držanja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s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udjeluje u provjeravanju morfoloških obilježja, motoričke sposobnosti,  funkcionalne sposobnosti i pravilnosti tjelesnog držanja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eastAsia="Calibri" w:cs="Calibri"/>
          <w:b/>
          <w:b/>
          <w:bCs/>
          <w:color w:val="FF0000"/>
        </w:rPr>
      </w:pPr>
      <w:r>
        <w:rPr>
          <w:b/>
          <w:bCs/>
          <w:color w:val="FF0000"/>
        </w:rPr>
        <w:t>MOTORIČKA POSTIGNUĆA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EAF1DD" w:themeFill="accent3" w:themeFillTint="33" w:val="clear"/>
          </w:tcPr>
          <w:p>
            <w:pPr>
              <w:pStyle w:val="Standardno"/>
              <w:widowControl/>
              <w:shd w:val="clear" w:color="auto" w:fill="EAF1DD" w:themeFill="accent3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TZK C.4.1.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Prati osobna motorička postignuća i njihovo unaprjeđenje.</w:t>
            </w:r>
          </w:p>
        </w:tc>
        <w:tc>
          <w:tcPr>
            <w:tcW w:w="6963" w:type="dxa"/>
            <w:gridSpan w:val="3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Prati i uspoređuje osobna postignuća.</w:t>
            </w:r>
          </w:p>
        </w:tc>
        <w:tc>
          <w:tcPr>
            <w:tcW w:w="4740" w:type="dxa"/>
            <w:gridSpan w:val="2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Motorički zadaci s ciljem praćenja motoričkih postignuća </w:t>
            </w:r>
            <w:r>
              <w:rPr>
                <w:rFonts w:eastAsia="Calibri" w:cs="Arial" w:ascii="Arial" w:hAnsi="Arial"/>
                <w:color w:val="FF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(Skok uvis iz kosog zaleta, Brzo trčanje na 50 m iz poluvisokog starta, Gađanje lopticom u cilj, Vaga zanoženjem, razredni projekt Minuta za zdravlje)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samostalno prati i uspoređuje motorička postignuća na motoričkim gibanjima: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>Skok uvis iz kosog zaleta, Brzo trčanje na 50 m iz poluvisokog starta, Gađanje lopticom u cilj, Vaga zanoženjem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samostalno provodi  jutarnje tjelesno vježbanje, uočava korisnosti mikropauza, makropauza, stanki prilikom učenja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primjenjuje prirodne oblike gibanja u svakodnevnom životu i radu</w:t>
            </w:r>
          </w:p>
        </w:tc>
        <w:tc>
          <w:tcPr>
            <w:tcW w:w="246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prati motorička postignuća na motoričkim gibanjima: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Skok uvis iz kosog zaleta, Brzo trčanje na 50 m iz poluvisokog starta, Gađanje lopticom u cilj, Vaga zanoženjem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provodi  jutarnje tjelesno vježbanje, uočava korisnosti mikropauza, makropauza, stanki prilikom učenja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uglavnom primjenjuje prirodne oblike gibanja u svakodnevnom životu i radu</w:t>
            </w:r>
          </w:p>
        </w:tc>
        <w:tc>
          <w:tcPr>
            <w:tcW w:w="2078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uglavnom uz pomoć učitelja prati motorička postignuća na motoričkim gibanjima: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Skok uvis iz kosog zaleta, Brzo trčanje na 50 m iz poluvisokog starta, Gađanje lopticom u cilj, Vaga zanoženjem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povremeno provodi  jutarnje tjelesno vježbanje, uočava korisnosti mikropauza, makropauza, stanki prilikom učenja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povremeno primjenjuje prirodne oblike gibanja u svakodnevnom životu i radu</w:t>
            </w:r>
          </w:p>
        </w:tc>
        <w:tc>
          <w:tcPr>
            <w:tcW w:w="2447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prati osobna motorička postignuća na motoričkim gibanjima: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Skok uvis iz kosog zaleta, Brzo trčanje na 50 m iz poluvisokog starta, Gađanje lopticom u cilj, Vaga zanoženjem  uz pomoć učitelja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povremeno provodi  jutarnje tjelesno vježbanje i primjenjuje prirodne oblike gibanja u svakodnevnom životu</w:t>
            </w:r>
          </w:p>
        </w:tc>
        <w:tc>
          <w:tcPr>
            <w:tcW w:w="229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prati osobna motorička postignuća na motoričkim gibanjima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b/>
          <w:bCs/>
          <w:color w:val="FF0000"/>
          <w:u w:val="none" w:color="000000"/>
        </w:rPr>
        <w:t>ZDRAVSTVENI I ODGOJNI UČINCI TJELESNOG VJEŽBANJA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Standardno"/>
              <w:widowControl/>
              <w:shd w:val="clear" w:color="auto" w:fill="F2DBDB" w:themeFill="accen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TZK A. D 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Izvodi naprednije kineziološke motoričke aktivnosti na otvorenom.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Sudjeluje u tjelesnim aktivnostima na otvorenom ovisno o posebnostima zavičaja.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Tjelesne aktivnosti na otvorenom u skladu s uvjetima i formalnim kompetencijama učitelja ( </w:t>
            </w:r>
            <w:r>
              <w:rPr>
                <w:rFonts w:eastAsia="Calibri" w:cs="Arial" w:ascii="Arial" w:hAnsi="Arial"/>
                <w:color w:val="FF0000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prezentacije sportova, trekking utrka, projekt  Dan bez učionice, Svjetski dan sporta, obiteljsko planinarenje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osmišljava i izvodi motoričke aktivnosti na otvorenom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>- pokazuje odgovornost za vlastito zdravlje te zagovara tjelesno vježbanje u prirodi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razumije zakonitosti utjecaja tjelesnog vježbanja, primjenjuje osnove uravnotežene prehrane, spoznaje značaj osobnoga zdravlja, važnost kineziterapijskih vježbi, vježbi opuštanja i pravilnog obrasca disanja te održavanja higijene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-predlaže i izvodi nove motoričke aktivnosti na otvorenom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uočava  zakonitosti utjecaja tjelesnog vježbanja, primjenjuje osnove uravnotežene prehrane, spoznaje značaj osobnoga zdravlja te održavanja higijene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izvodi poznate kineziološke motoričke aktivnosti na otvorenom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prepoznaje zakonitosti utjecaja tjelesnog vježbanja, primjenjuje osnove uravnotežene prehrane, spoznaje značaj osobnoga zdravlja te održavanja higijene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izvodi poznate motoričke aktivnosti na otvorenom na poticaj i uz učiteljevo praćenje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uz pomoć učitelja prepoznaje zakonitosti utjecaja tjelesnog vježbanja, primjenjuje osnove uravnotežene prehrane, spoznaje značaj osobnoga zdravlja te održavanja higijene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izvodi poznate motoričke aktivnosti na otvorenom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Standardno"/>
              <w:widowControl/>
              <w:shd w:val="clear" w:color="auto" w:fill="F2DBDB" w:themeFill="accen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TZK D.4.2.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Izvodi vježbe za aktivaciju sustava za kretanje.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Kineziterapijske vježbe za aktivaciju sustava za kretanje (vježbe aktivacije trupa, pravilnog obrasca disanja, zatim mišića gornjih i donjih udova).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samoinicijativno i redovito koristi vježbe za aktivaciju sustava za kretanje (vježbe aktivacije trupa, uspostave pravilnog obrasca disanja te aktivacije mišića gornjih i donjih udova).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redovito koristi vježbe za aktivaciju sustava za kretanje (vježbe aktivacije trupa, uspostave pravilnog obrasca disanja te aktivacije mišića gornjih i donjih udova).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povremeno izvodi jednostavnije vježbe za aktivaciju sustava za kretanje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na poticaj učitelja izvodi jednostavnije vježbe za aktivaciju sustava za kretanje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izvodi jednostavnije vježbe za aktivaciju sustava za kretanje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Standardno"/>
              <w:widowControl/>
              <w:shd w:val="clear" w:color="auto" w:fill="F2DBDB" w:themeFill="accen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TZK D.4.3.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Priprema i skrbi o sportskom vježbalištu.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Sudjeluje u akcijama uređenja sportskog vježbališta.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Uređenje i održavanje otvorenih i zatvorenih sportskih vježbališta.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"/>
              <w:widowControl/>
              <w:shd w:val="clear" w:color="auto" w:fill="F2DBDB" w:themeFill="accent2" w:themeFillTint="33"/>
              <w:suppressAutoHyphens w:val="true"/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Tijelo"/>
              <w:widowControl/>
              <w:shd w:val="clear" w:color="auto" w:fill="F2DBDB" w:themeFill="accent2" w:themeFillTint="33"/>
              <w:suppressAutoHyphens w:val="true"/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</w:t>
            </w:r>
            <w:r>
              <w:rPr>
                <w:rFonts w:cs="Arial" w:ascii="Arial" w:hAnsi="Arial"/>
                <w:kern w:val="0"/>
                <w:sz w:val="22"/>
                <w:szCs w:val="22"/>
                <w:shd w:fill="F2DBDB" w:val="clear"/>
                <w:lang w:bidi="ar-SA"/>
              </w:rPr>
              <w:t>aktivno sudjeluje i surađuje u očuvanju sportskog vježbališta i okoliša te predlaže mjere zaštite i unaprjeđenja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Tijelo"/>
              <w:widowControl/>
              <w:shd w:val="clear" w:color="auto" w:fill="F2DBDB" w:themeFill="accent2" w:themeFillTint="33"/>
              <w:suppressAutoHyphens w:val="true"/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sudjeluje i surađuje u očuvanju sportskog vježbališta i okoliša te predlaže mjere zaštite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pokazuje odgovornost za održavanje sportskog vježbališta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na učiteljev poticaj prepoznaje potrebu brige o sportskom vježbalištu i okolišu te sudjeluje u njihovom održavanju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pokazuje odgovornost za održavanje sportskog vježbališta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RAZRADA USHODA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2DBDB" w:themeFill="accent2" w:themeFillTint="33" w:val="clear"/>
          </w:tcPr>
          <w:p>
            <w:pPr>
              <w:pStyle w:val="Standardno"/>
              <w:widowControl/>
              <w:shd w:val="clear" w:color="auto" w:fill="F2DBDB" w:themeFill="accent2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OŠ TZK D.4.4.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Primjenjuje pravila raznovrsnih sportova.</w:t>
            </w:r>
          </w:p>
        </w:tc>
        <w:tc>
          <w:tcPr>
            <w:tcW w:w="6963" w:type="dxa"/>
            <w:gridSpan w:val="3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Surađuje tijekom igre i primjenjuje pravila iz raznovrsnih grupacija sportova.</w:t>
            </w:r>
          </w:p>
        </w:tc>
        <w:tc>
          <w:tcPr>
            <w:tcW w:w="4740" w:type="dxa"/>
            <w:gridSpan w:val="2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Suradnja u skupini (fair play, čuvanje i pomaganje, socijalna inkluzija, verbalna i neverbalna komunikacija, nenasilno rješavanje sukoba, pregovaranje, posredovanje…).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a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ktivno surađuje u skupini te se asertivno zalaže za poštivanje pravila i dogovora u igri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prihvaća različitosti, prihvaća drugoga i drukčijega uz istodobno visoku razinu samopoštovanja i samopouzdanja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poštuje  osobnost svakog učenika, razvija vlastitu kreativnost, kritičko promišljanje, rješavanje problemskih situacija, znatiželju i zadovoljstvo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-dogovorno i pravedno donosi odluke</w:t>
            </w:r>
          </w:p>
        </w:tc>
        <w:tc>
          <w:tcPr>
            <w:tcW w:w="2460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primjenjuje načine nenasilnog rješavanja sukoba nastalih u motoričkoj igri te dosljedno slijedi pravila igre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-prihvaća različitosti, prihvaća drugoga i drukčijega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poštuje  osobnost svakog učenika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-odgovorno i pravedno donosi odluke</w:t>
            </w:r>
          </w:p>
        </w:tc>
        <w:tc>
          <w:tcPr>
            <w:tcW w:w="2078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uglavnom primjenjuje načine nenasilnog rješavanja sukoba nastalih u motoričkoj igri te  djelomično slijedi pravila igre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uglavnom poštuje  osobnost svakog učenika</w:t>
            </w:r>
          </w:p>
        </w:tc>
        <w:tc>
          <w:tcPr>
            <w:tcW w:w="2447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-opisuje pravila, ali ih nedosljedno primjenjuje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često ne poštuje  osobnost svakog učenika</w:t>
            </w:r>
          </w:p>
        </w:tc>
        <w:tc>
          <w:tcPr>
            <w:tcW w:w="2293" w:type="dxa"/>
            <w:tcBorders/>
            <w:shd w:color="auto" w:fill="F2DBDB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primjenjuje pravila igre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poštuje  osobnost drugih učenika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  <w:t>MJERILA VREDNOVANJA PREMA ISHODIMA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lang w:eastAsia="hr-HR"/>
        </w:rPr>
      </w:pPr>
      <w:r>
        <w:rPr>
          <w:rFonts w:cs="Arial" w:ascii="Arial" w:hAnsi="Arial"/>
          <w:b/>
          <w:bCs/>
          <w:color w:val="FF0000"/>
          <w:lang w:eastAsia="hr-HR"/>
        </w:rPr>
        <w:t>LIKOVNA KULTURA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LK A.4.1.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likovnim i vizualnim izražavanjem interpretira različite sadržaje.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u stvaralačkom procesu i izražavanju:</w:t>
            </w:r>
          </w:p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koristi likovni jezik (obvezni pojmovi likovnog jezika i oni za koje učitelj smatra da mu mogu pomoći pri realizaciji ideje u određenom zadatku);</w:t>
            </w:r>
          </w:p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koristi iskustvo usmjerenog opažanja;</w:t>
              <w:br/>
              <w:t>koristi doživljaj temeljen na osjećajima, iskustvu, mislima i informacijama;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koristi slobodne asocijacije te razlikuje doslovne (stereotipi i šablone) i udaljene slobodne asocijacije (originalna rješenja i ideje).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Učenik koristi neke od predloženih likovnih materijala i tehnika: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•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crtački: olovka, ugljen, kreda, flomaster, tuš, pero, kist, lavirani tuš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•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slikarski: akvarel, gvaš, tempere, pastel, flomasteri, kolaž papir, kolaž iz časopisa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•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prostorno-plastički: glina, glinamol, papir-plastika, ambalaža i drugi materijali, aluminijska folija, kaširani papir (papir mâšé), žica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•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grafički: monotipija, kartonski tisak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FF0000"/>
                <w:kern w:val="0"/>
                <w:sz w:val="22"/>
                <w:szCs w:val="22"/>
                <w:lang w:bidi="ar-SA"/>
              </w:rPr>
              <w:t>Obvezni likovni pojmovi:</w:t>
              <w:br/>
            </w: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različiti načini grupiranja točaka i crta (rasteri, skupljeno i raspršeno)</w:t>
              <w:br/>
              <w:t>- čistoća boje; valeri boja; simbolika i asocijativnost boja. Nijanse boje;</w:t>
              <w:br/>
              <w:t>- različite vrste površina (umjetnička djela i okolina)</w:t>
              <w:br/>
              <w:t>- različiti odnosi mase i prostora</w:t>
              <w:br/>
              <w:t>- kromatsko – akromatski kontrast</w:t>
              <w:br/>
              <w:t>- jedinstvo.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dominacija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kompozicija i rekompozicija na plohi i u prostoru</w:t>
              <w:br/>
              <w:t>Učenik odgovara likovnim i vizualnim izražavanjem na razne vrste poticaja:</w:t>
              <w:br/>
              <w:t>- osobni sadržaji (osjećaji, misli, iskustva, stavovi i vrijednosti)</w:t>
              <w:br/>
              <w:t>- sadržaji likovne/vizualne umjetnosti ili sadržaji/izraz drugih umjetničkih područja</w:t>
              <w:br/>
              <w:t>- sadržaji iz svakodnevnog života i neposredne okoline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likovnim i vizualnim izražavanjem interpretira različite doživljaje i sadržaje koristeći likovni jezik I predlažući originalna rješenja  u stvaralačkom procesu</w:t>
            </w:r>
          </w:p>
          <w:p>
            <w:pPr>
              <w:pStyle w:val="Tijel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samostalno istražuje I koristi veći broj likovnih tehnika i postupaka te njihovih mogućnosti</w:t>
            </w:r>
          </w:p>
          <w:p>
            <w:pPr>
              <w:pStyle w:val="Tijel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 u stvaralačkom procesu I izražavanju </w:t>
            </w:r>
            <w:r>
              <w:rPr>
                <w:rFonts w:cs="Arial" w:ascii="Arial" w:hAnsi="Arial"/>
                <w:color w:val="231F20"/>
                <w:u w:val="none" w:color="231F20"/>
              </w:rPr>
              <w:t>koristi iskustvo usmjerenog opažanja</w:t>
              <w:br/>
              <w:t>- koristi doživljaj temeljen na osjećajima, iskustvu, mislima i informacijama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likovnim i vizualnim izražavanjem interpretira različite doživljaje i sadržaje koristeći likovni jezik, uglavnom izbjegavajući stereotipe i šablone u stvaralačkom procesu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 u stvaralačkom procesu I izražavanju 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koristi iskustvo usmjerenog opažanja</w:t>
              <w:br/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likovnim i vizualnim izražavanjem interpretira različite doživljaje i sadržaje koristeći likovni jezik povremeno izbjegavajući stereotipe i šablone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- 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koristi doživljaj temeljen na osjećajima, iskustvu, mislima i informacijama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likovnim i vizualnim izražavanjem interpretira različite doživljaje i sadržaje koristeći likovni jezik prepoznajući stereotipe i šablone i originalna rješenja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uz poticaj učitelja 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koristi doživljaj temeljen na osjećajima, iskustvu, mislima i informacijama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likovnim i vizualnim izražavanjem izražava šablone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Standardn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LK A.4.2.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demonstrira fine motoričke vještine upotrebom različitih likovnih materijala i postupaka u vlastitom likovnom izražavanju.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FBD4B4" w:val="clear"/>
                <w:lang w:bidi="ar-SA"/>
              </w:rPr>
              <w:t>Učenik istražuje likovne materijale i postupke u svrhu izrade likovnog uratka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.</w:t>
            </w:r>
          </w:p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Uočava i izražava osobitosti likovnih materijala i postupaka pri njihovoj upotrebi.</w:t>
            </w:r>
          </w:p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Demonstrira fine motoričke vještine (preciznost, usredotočenje, koordinacija prstiju i očiju, sitni pokreti).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FF0000"/>
                <w:kern w:val="0"/>
                <w:sz w:val="22"/>
                <w:szCs w:val="22"/>
                <w:lang w:bidi="ar-SA"/>
              </w:rPr>
              <w:t>Likovni  materijali i tehnike: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bidi="ar-SA"/>
              </w:rPr>
              <w:br/>
            </w: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  crtački: olovka, ugljen, kreda,flomaster, tuš</w:t>
            </w: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, pero, kist, lavirani tus</w:t>
            </w: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̌.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slikarski: akvarel, gvaš, tempere, pastel, flomasteri, kolaž papir, kolaž iz časopisa.</w:t>
            </w:r>
          </w:p>
          <w:p>
            <w:pPr>
              <w:pStyle w:val="Tijelo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prostorno-plastički: glina, glinamol, papir-plastika, ambalaža i drugi materijali, aluminijska folija, kaširani papir (papir mâšé</w:t>
            </w:r>
            <w:r>
              <w:rPr>
                <w:rFonts w:cs="Arial" w:ascii="Arial" w:hAnsi="Arial"/>
                <w:kern w:val="0"/>
                <w:sz w:val="22"/>
                <w:szCs w:val="22"/>
                <w:lang w:val="nl-NL" w:bidi="ar-SA"/>
              </w:rPr>
              <w:t>), z</w:t>
            </w: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̌ica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grafički: monotipija, kartonski tisak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-samostalno istražuje I koristi likovne materijale i postupke u svrhu izrade svog likovnog rada</w:t>
            </w:r>
          </w:p>
          <w:p>
            <w:pPr>
              <w:pStyle w:val="Tijel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pokazuje dosljednost I preciznost u izvedbi detalja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koristi likovne materijale i postupke u svrhu izrade svog likovnog rada – pokazuje stupanj preciznosti, kontrole materijala i izvedbe detalja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koristi likovne materijale i postupke u svrhu izrade svog likovnog rada uz pomoć učitelja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pokazuje djelomičnu preciznost u izvedbi detalja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koristi  likovne materijale i postupke u svrhu izrade svog likovnog rada uz pomoć učitelja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pokazuje nizak stupanj preciznosti, djelomične kontrole materijala i izvedbe s minimumom detalja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ne koristi  likovne materijale i postupke u svrhu izrade svog likovnog rada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LK A.4.3.</w:t>
            </w:r>
          </w:p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eastAsia="Calibri" w:cs="Arial"/>
                <w:color w:val="231F20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u vlastitome radu koristi tehničke i izražajne mogućnosti novomedijskih tehnologija.</w:t>
            </w:r>
          </w:p>
        </w:tc>
        <w:tc>
          <w:tcPr>
            <w:tcW w:w="6963" w:type="dxa"/>
            <w:gridSpan w:val="3"/>
            <w:tcBorders/>
            <w:shd w:color="auto" w:fill="FBD4B4" w:themeFill="accent6" w:themeFillTint="66" w:val="clear"/>
          </w:tcPr>
          <w:p>
            <w:pPr>
              <w:pStyle w:val="Tijelo"/>
              <w:widowControl/>
              <w:shd w:val="clear" w:color="auto" w:fill="FBD4B4" w:themeFill="accent6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FBD4B4" w:val="clear"/>
                <w:lang w:bidi="ar-SA"/>
              </w:rPr>
              <w:t>Učenik digitalnim fotoaparatom (digitalni fotoaparat, pametni telefon) bilježi sadržaje iz okoline koristeći znanje o likovnom jeziku i drugim likovnim pojmovima; zabilježene sadržaje interpretira u vlastitom vizualnom radu.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740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Kadar; plan; kompozicija i neki od likovnih pojmova predviđenih ishodom OŠ LK A.4.1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na originalan način primjenjuje različite izražajne mogućnosti likovnog jezika (kadar, plan i kompozicija) pri bilježenju sadržaja iz vlastite okoline digitalnom kamerom</w:t>
            </w:r>
          </w:p>
        </w:tc>
        <w:tc>
          <w:tcPr>
            <w:tcW w:w="2460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primjenjuje izražajne mogućnosti likovnog jezika (kadar, plan i kompozicija) pri bilježenju sadržaja iz vlastite okoline digitalnom kamerom</w:t>
            </w:r>
          </w:p>
        </w:tc>
        <w:tc>
          <w:tcPr>
            <w:tcW w:w="2078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primjenjuje osnovne izražajne mogućnosti likovnog jezika (kadar, kompozicija) pri bilježenju sadržaja iz vlastite okoline digitalnom kamerom uz pomoć učitelja</w:t>
            </w:r>
          </w:p>
        </w:tc>
        <w:tc>
          <w:tcPr>
            <w:tcW w:w="2447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uz pomoć učitelja učenik digitalnom kamerom bilježi sadržaje iz vlastite okoline primjenjujući osnovna znanja o kadru</w:t>
            </w:r>
          </w:p>
        </w:tc>
        <w:tc>
          <w:tcPr>
            <w:tcW w:w="2293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 ne bilježi sadržaje iz okoline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ascii="Arial" w:hAnsi="Arial" w:eastAsia="Calibri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DOŽIVLJAJ I KRITIČKI STAV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LK B.4.1.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analizira likovno i vizualno umjetničko djelo povezujući osobni doživljaj, likovni jezik i tematski sadržaj djela.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opisuje osobni doživljaj djela i povezuje ga s vlastitim osjećajima, iskustvom i mislima.</w:t>
            </w:r>
          </w:p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opisuje:</w:t>
            </w:r>
          </w:p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materijale i postupke</w:t>
              <w:br/>
              <w:t>- likovne elemente i kompozicijska načela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tematski sadržaj djela (motiv, teme, asocijacije).</w:t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Crtež, slikarstvo, skulptura, grafika, vizualne komunikacije i dizajn (grafički), arhitektura i urbanizam, fotografija, film (igrani i animirani), strip, skulptura u javnome prostoru, elementi grada i sela, lokaliteta ili pojedinačnih arhitektonskih objekata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- analizira određene tematske i likovne ili vizualne sadržaje  umjetničkog djela (likovni jezik, materijali, likovni elementi, kompozicija) povezujući ih s vlastitim doživljajem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pronalazi različite veze između tematskih i likovnih ili vizualnih sadržaja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 (l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ikovni jezik, materijali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, likovni elementi, kompozicija)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  stvarajući poveznice s osobnim doživljajem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pronalazi  manje detalja i karakteristika tematskih i likovnih ili vizualnih sadržaja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(l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ikovni jezik, materijali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, likovni elementi, kompozicija)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  stvarajući poveznice s osobnim doživljajem</w:t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- uz pomoć učitelja pronalazi  manje detalja i karakteristika tematskih i likovnih ili vizualnih sadržaja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(l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ikovni jezik, materijali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, likovni elementi, kompozicija)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 xml:space="preserve">   stvarajući poveznice s osobnim doživljajem</w:t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DBE5F1" w:themeFill="accent1" w:themeFillTint="33" w:val="clear"/>
          </w:tcPr>
          <w:p>
            <w:pPr>
              <w:pStyle w:val="Standardn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LK B.4.2.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opisuje i uspoređuje svoj likovni ili vizualni rad i radove drugih učenika te opisuje vlastiti doživljaj stvaranja.</w:t>
            </w:r>
          </w:p>
        </w:tc>
        <w:tc>
          <w:tcPr>
            <w:tcW w:w="6963" w:type="dxa"/>
            <w:gridSpan w:val="3"/>
            <w:tcBorders/>
            <w:shd w:color="auto" w:fill="DBE5F1" w:themeFill="accent1" w:themeFillTint="33" w:val="clear"/>
          </w:tcPr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opisuje i uspoređuje likovne ili vizualne radove prema kriterijima:</w:t>
            </w:r>
          </w:p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likovnog jezika, likovnih materijala, tehnika i/ ili vizualnih medija, prikaza tema i motiva te originalnosti i uloženog truda.</w:t>
            </w:r>
          </w:p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prepoznaje poticaj, osnovnu ideju/ poruku te način na koji je to izraženo u likovnom ili vizualnom radu.</w:t>
            </w:r>
          </w:p>
          <w:p>
            <w:pPr>
              <w:pStyle w:val="Tijelo"/>
              <w:widowControl/>
              <w:shd w:val="clear" w:color="auto" w:fill="DBE5F1" w:themeFill="accent1" w:themeFillTint="33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prepoznaje i opisuje kako je zadani likovni/vizualni problem moguće riješiti na više (jednakovrijednih) načina.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prepoznaje razinu osobnog zadovoljstva u stvaralačkom procesu.</w:t>
            </w:r>
          </w:p>
        </w:tc>
        <w:tc>
          <w:tcPr>
            <w:tcW w:w="4740" w:type="dxa"/>
            <w:gridSpan w:val="2"/>
            <w:tcBorders/>
            <w:shd w:color="auto" w:fill="DBE5F1" w:themeFill="accent1" w:themeFillTint="33" w:val="clear"/>
          </w:tcPr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Sadržaji ishoda OŠ LK B.4.2. istovjetni su sadržajima ishoda OŠ LK A.4.1.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objašnjava  vlastiti doživljaj stvaranja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>- uspoređuje svoj likovni ili vizualni rad s radovima drugih učenika prema maštovitosti upotrebe likovnog jezika, materijala, prikaza teme ili motiva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none" w:color="000000"/>
              </w:rPr>
              <w:t>-  samostalno ukazuje na različite mogućnosti rješavanja istog likovnog ili vizualnog problema</w:t>
            </w:r>
          </w:p>
        </w:tc>
        <w:tc>
          <w:tcPr>
            <w:tcW w:w="246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vlastiti doživljaj stvaranja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uspoređuje svoj likovni ili vizualni rad s radovima drugih učenika prema maštovitosti upotrebe likovnog jezika, materijala, prikaza teme ili motiva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prepoznaje različite mogućnosti rješavanja istog likovnog ili vizualnog problema</w:t>
            </w:r>
          </w:p>
        </w:tc>
        <w:tc>
          <w:tcPr>
            <w:tcW w:w="2078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-opisuje vlastiti doživljaj stvaranja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djelomično  uspoređuje svoj likovni ili vizualni rad s radovima drugih učenika prema upotrebi likovnog jezika, materijala, prikaza teme ili motiva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47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vlastiti doživljaj stvaranja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uz pomoć učitelja uspoređuje svoj likovni ili vizualni rad s radovima  drugih učenika</w:t>
            </w:r>
          </w:p>
        </w:tc>
        <w:tc>
          <w:tcPr>
            <w:tcW w:w="2293" w:type="dxa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opisuje vlastiti doživljaj stvaranja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uspoređuje svoj likovni ili vizualni rad s radovima  drugih učenika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Tijel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jc w:val="center"/>
        <w:rPr>
          <w:rFonts w:eastAsia="Calibri" w:cs="Calibri"/>
          <w:b/>
          <w:b/>
          <w:bCs/>
          <w:color w:val="FF0000"/>
        </w:rPr>
      </w:pPr>
      <w:r>
        <w:rPr>
          <w:b/>
          <w:bCs/>
          <w:color w:val="FF0000"/>
        </w:rPr>
        <w:t>UMJETNOST U KONTEKSTU</w:t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CCC0D9" w:themeFill="accent4" w:themeFillTint="66" w:val="clear"/>
          </w:tcPr>
          <w:p>
            <w:pPr>
              <w:pStyle w:val="Standardn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LK C.4.1.</w:t>
            </w:r>
          </w:p>
          <w:p>
            <w:pPr>
              <w:pStyle w:val="Standardn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objašnjava i u</w:t>
            </w:r>
          </w:p>
          <w:p>
            <w:pPr>
              <w:pStyle w:val="Tijelo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likovnom i vizualnom radu interpretira kako je oblikovanje vizualne okoline povezano s aktivnostima i namjenama koje se u njoj odvijaju.</w:t>
            </w:r>
          </w:p>
        </w:tc>
        <w:tc>
          <w:tcPr>
            <w:tcW w:w="6963" w:type="dxa"/>
            <w:gridSpan w:val="3"/>
            <w:tcBorders/>
            <w:shd w:color="auto" w:fill="CCC0D9" w:themeFill="accent4" w:themeFillTint="66" w:val="clear"/>
          </w:tcPr>
          <w:p>
            <w:pPr>
              <w:pStyle w:val="Tijel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CCC0D9" w:val="clear"/>
                <w:lang w:bidi="ar-SA"/>
              </w:rPr>
              <w:t>Likovnim i vizualnim izražavanjem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 učenik:</w:t>
            </w:r>
          </w:p>
          <w:p>
            <w:pPr>
              <w:pStyle w:val="Tijel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uspoređuje na koji način prostornom organizacijom čovjek prilagođava svoj životni prostor prirodnom okruženju i svojim potrebama</w:t>
            </w:r>
          </w:p>
          <w:p>
            <w:pPr>
              <w:pStyle w:val="Tijel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uspoređuje različite odnose slike i teksta te načine na koji taj odnos oblikuje poruku</w:t>
            </w:r>
          </w:p>
          <w:p>
            <w:pPr>
              <w:pStyle w:val="Tijel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- u vlastitom radu koristi različite odnose slike i teksta u cilju postizanja jasnoće poruke i preglednosti sadržaja.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740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Plan, tlocrt, maketa.</w:t>
              <w:br/>
              <w:t>Odnos slike i teksta: reklame, časopisi, knjige, strip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 vlastitom radu interpretira povezanost oblikovanja životnog prostora, prirodnog okruženja i čovjekovih potreba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u w:val="none" w:color="000000"/>
              </w:rPr>
            </w:pPr>
            <w:r>
              <w:rPr>
                <w:rFonts w:cs="Arial" w:ascii="Arial" w:hAnsi="Arial"/>
                <w:u w:val="none" w:color="000000"/>
              </w:rPr>
              <w:t xml:space="preserve"> </w:t>
            </w:r>
            <w:r>
              <w:rPr>
                <w:rFonts w:cs="Arial" w:ascii="Arial" w:hAnsi="Arial"/>
                <w:u w:val="none" w:color="000000"/>
              </w:rPr>
              <w:t>- u vlastitom radu inventivno koristi različite odnose slike i teksta postižući jasnoću poruke i preglednost sadržaja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 </w:t>
            </w:r>
            <w:r>
              <w:rPr>
                <w:rFonts w:cs="Arial" w:ascii="Arial" w:hAnsi="Arial"/>
                <w:u w:val="none" w:color="000000"/>
              </w:rPr>
              <w:t>uspoređuje i u vlastitom radu interpretira arhitektonske ili urbanističke cjeline</w:t>
            </w:r>
          </w:p>
        </w:tc>
        <w:tc>
          <w:tcPr>
            <w:tcW w:w="2460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 vlastitom radu interpretira povezanost oblikovanja životnog prostora, prirodnog okruženja i čovjekovih potreba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i u vlastitom radu koristi različite odnose slike i teksta postižući jasnoću poruke i preglednost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uspoređuje na koji način prostornom organizacijom čovjek prilagođava svoj životni prostor prirodnom okruženju i svojim potrebama</w:t>
            </w:r>
          </w:p>
        </w:tc>
        <w:tc>
          <w:tcPr>
            <w:tcW w:w="207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u vlastitom radu prikazuje povezanost oblikovanja životnog prostora, prirodnog okruženja i čovjekovih potreba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 vlastitom radu koristi različite odnose slike i teksta uglavnom postižući jasnoću poruke i preglednost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4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uz pomoć učitelja prikazuje povezanost oblikovanja životnog prostora, prirodnog okruženja i čovjekovih potreba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prepoznaje različite odnose slike i teksta te ih prema zadanoj strukturi koristi u vlastitom radu djelomično postižući jasnoću poruke i preglednost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293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u w:val="none" w:color="00000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prikazuje povezanost oblikovanja životnog prostora, prirodnog okruženja i čovjekovih potreba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prepoznaje različite odnose slike i teksta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Reetkatablice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2425"/>
        <w:gridCol w:w="2460"/>
        <w:gridCol w:w="2078"/>
        <w:gridCol w:w="2447"/>
        <w:gridCol w:w="2293"/>
      </w:tblGrid>
      <w:tr>
        <w:trPr>
          <w:trHeight w:val="408" w:hRule="atLeast"/>
        </w:trPr>
        <w:tc>
          <w:tcPr>
            <w:tcW w:w="2516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ODGOJNO-OBRAZOVNI ISHOD</w:t>
            </w:r>
          </w:p>
        </w:tc>
        <w:tc>
          <w:tcPr>
            <w:tcW w:w="6963" w:type="dxa"/>
            <w:gridSpan w:val="3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RAZRADA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SHODA</w:t>
            </w:r>
          </w:p>
        </w:tc>
        <w:tc>
          <w:tcPr>
            <w:tcW w:w="4740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2516" w:type="dxa"/>
            <w:tcBorders/>
            <w:shd w:color="auto" w:fill="CCC0D9" w:themeFill="accent4" w:themeFillTint="66" w:val="clear"/>
          </w:tcPr>
          <w:p>
            <w:pPr>
              <w:pStyle w:val="Standardn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31F20"/>
                <w:sz w:val="22"/>
                <w:szCs w:val="22"/>
                <w:u w:val="none" w:color="231F20"/>
              </w:rPr>
            </w:pPr>
            <w:r>
              <w:rPr>
                <w:rFonts w:cs="Arial" w:ascii="Arial" w:hAnsi="Arial"/>
                <w:b/>
                <w:bCs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OŠ LK C.4.2.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Učenik povezuje umjetničko djelo s iskustvima iz svakodnevnog života te društvenim kontekstom.</w:t>
            </w:r>
          </w:p>
        </w:tc>
        <w:tc>
          <w:tcPr>
            <w:tcW w:w="6963" w:type="dxa"/>
            <w:gridSpan w:val="3"/>
            <w:tcBorders/>
            <w:shd w:color="auto" w:fill="CCC0D9" w:themeFill="accent4" w:themeFillTint="66" w:val="clear"/>
          </w:tcPr>
          <w:p>
            <w:pPr>
              <w:pStyle w:val="Tijel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>Učenik opisuje i uspoređuje umjetnička djela povezujući ih sa znanjima stečenim na drugim nastavnim predmetima te iskustvima iz svakodnevnog života (uzimajući u obzir različite društvene čimbenike).</w:t>
            </w:r>
          </w:p>
          <w:p>
            <w:pPr>
              <w:pStyle w:val="Tijelo"/>
              <w:widowControl/>
              <w:shd w:val="clear" w:color="auto" w:fill="CCC0D9" w:themeFill="accent4" w:themeFillTint="66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1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CCC0D9" w:val="clear"/>
                <w:lang w:bidi="ar-SA"/>
              </w:rPr>
              <w:t>Učenik opisuje djela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lang w:bidi="ar-SA"/>
              </w:rPr>
              <w:t xml:space="preserve"> </w:t>
            </w:r>
            <w:r>
              <w:rPr>
                <w:rFonts w:cs="Arial" w:ascii="Arial" w:hAnsi="Arial"/>
                <w:color w:val="231F20"/>
                <w:kern w:val="0"/>
                <w:sz w:val="22"/>
                <w:szCs w:val="22"/>
                <w:u w:val="none" w:color="231F20"/>
                <w:shd w:fill="CCC0D9" w:val="clear"/>
                <w:lang w:bidi="ar-SA"/>
              </w:rPr>
              <w:t>kulturne i tradicijske baštine različitih krajeva i kultura te nalazi poveznice s društvenim kontekstom u kojem su nastala (način života, običaji).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740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Različiti  oblici umjetničkog izražavanja, kulturno umjetnička događanja, spomenici iz svog kraja muzej, galerija, izložba, radionica, kazalište.</w:t>
            </w:r>
          </w:p>
        </w:tc>
      </w:tr>
      <w:tr>
        <w:trPr>
          <w:trHeight w:val="384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  <w:tc>
          <w:tcPr>
            <w:tcW w:w="2460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07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44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293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>NEDOVOLJAN (1)</w:t>
            </w:r>
          </w:p>
        </w:tc>
      </w:tr>
      <w:tr>
        <w:trPr>
          <w:trHeight w:val="1152" w:hRule="atLeast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opisuje i uspoređuje umjetnička djela povezujući ih sa znanjima i iskustvima iz svakodnevnog života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31F20"/>
                <w:u w:val="none" w:color="231F20"/>
              </w:rPr>
              <w:t>- opisuje djela kulturne i tradicijske baštine različitih krajeva i kultura povezujući ih s načinom života i običajima toga vremena</w:t>
            </w:r>
          </w:p>
        </w:tc>
        <w:tc>
          <w:tcPr>
            <w:tcW w:w="2460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31F20"/>
                <w:u w:val="none" w:color="231F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hr-HR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opisuje umjetnička djela povezujući ih sa znanjima i iskustvima iz svakodnevnog života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color w:val="231F20"/>
                <w:kern w:val="0"/>
                <w:sz w:val="22"/>
                <w:szCs w:val="22"/>
                <w:u w:val="none" w:color="231F20"/>
                <w:lang w:val="hr-HR" w:eastAsia="en-US" w:bidi="ar-SA"/>
              </w:rPr>
              <w:t>- opisuje djela kulturne i tradicijske baštine različitih krajeva i kultura</w:t>
            </w:r>
          </w:p>
        </w:tc>
        <w:tc>
          <w:tcPr>
            <w:tcW w:w="207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opisuje djela kulturne baštine iz različitih krajeva i kultura uz pomoć učitelja</w:t>
            </w:r>
          </w:p>
        </w:tc>
        <w:tc>
          <w:tcPr>
            <w:tcW w:w="244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na poticaj učitelja opisuje djela kulturne baštine iz različitih krajeva i kultura uz pomoć učitelja</w:t>
            </w:r>
          </w:p>
        </w:tc>
        <w:tc>
          <w:tcPr>
            <w:tcW w:w="2293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none" w:color="000000"/>
                <w:lang w:val="hr-HR" w:eastAsia="en-US" w:bidi="ar-SA"/>
              </w:rPr>
              <w:t>- ne opisuje djela kulturne baštine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Arial">
    <w:charset w:val="ee"/>
    <w:family w:val="roman"/>
    <w:pitch w:val="variable"/>
  </w:font>
  <w:font w:name="Cambria Math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5c8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2">
    <w:name w:val="Heading 2"/>
    <w:basedOn w:val="Normal"/>
    <w:link w:val="Naslov2Char"/>
    <w:uiPriority w:val="9"/>
    <w:qFormat/>
    <w:rsid w:val="00936fc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57356c"/>
    <w:rPr>
      <w:rFonts w:ascii="Tahoma" w:hAnsi="Tahoma" w:cs="Tahoma"/>
      <w:sz w:val="16"/>
      <w:szCs w:val="16"/>
    </w:rPr>
  </w:style>
  <w:style w:type="character" w:styleId="Naslov2Char" w:customStyle="1">
    <w:name w:val="Naslov 2 Char"/>
    <w:basedOn w:val="DefaultParagraphFont"/>
    <w:link w:val="Naslov2"/>
    <w:uiPriority w:val="9"/>
    <w:qFormat/>
    <w:rsid w:val="00936fcc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Normaltextrun" w:customStyle="1">
    <w:name w:val="normaltextrun"/>
    <w:basedOn w:val="DefaultParagraphFont"/>
    <w:qFormat/>
    <w:rsid w:val="00a36aa3"/>
    <w:rPr/>
  </w:style>
  <w:style w:type="character" w:styleId="Eop" w:customStyle="1">
    <w:name w:val="eop"/>
    <w:basedOn w:val="DefaultParagraphFont"/>
    <w:qFormat/>
    <w:rsid w:val="00a36aa3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5735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jelo" w:customStyle="1">
    <w:name w:val="Tijelo"/>
    <w:qFormat/>
    <w:rsid w:val="009938c4"/>
    <w:pPr>
      <w:widowControl/>
      <w:pBdr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en-US" w:eastAsia="hr-HR" w:bidi="ar-SA"/>
    </w:rPr>
  </w:style>
  <w:style w:type="paragraph" w:styleId="ListParagraph">
    <w:name w:val="List Paragraph"/>
    <w:basedOn w:val="Normal"/>
    <w:qFormat/>
    <w:rsid w:val="00a36aa3"/>
    <w:pPr>
      <w:spacing w:lineRule="auto" w:line="259" w:before="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a36a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Standardno" w:customStyle="1">
    <w:name w:val="Standardno"/>
    <w:qFormat/>
    <w:rsid w:val="000c6c07"/>
    <w:pPr>
      <w:widowControl/>
      <w:pBdr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de-DE"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5735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rednjipopis2-Isticanje2">
    <w:name w:val="Medium List 2 Accent 2"/>
    <w:basedOn w:val="Obinatablica"/>
    <w:uiPriority w:val="66"/>
    <w:rsid w:val="008b721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8b721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FC20-7904-4D3C-9452-18EBEDC2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LibreOffice/7.0.1.2$Windows_X86_64 LibreOffice_project/7cbcfc562f6eb6708b5ff7d7397325de9e764452</Application>
  <Pages>63</Pages>
  <Words>11783</Words>
  <Characters>75489</Characters>
  <CharactersWithSpaces>86168</CharactersWithSpaces>
  <Paragraphs>1302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2021-07-08T07:11:00Z</dcterms:created>
  <dc:creator>Korisnik</dc:creator>
  <dc:description/>
  <dc:language>hr-HR</dc:language>
  <cp:lastModifiedBy/>
  <dcterms:modified xsi:type="dcterms:W3CDTF">2024-09-10T17:12:34Z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